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1) Define the problem, </w:t>
      </w:r>
    </w:p>
    <w:p>
      <w:pPr/>
      <w:r>
        <w:rPr>
          <w:rFonts w:ascii="Times" w:hAnsi="Times" w:cs="Times"/>
          <w:sz w:val="24"/>
          <w:sz-cs w:val="24"/>
        </w:rPr>
        <w:t xml:space="preserve">A man needs to take 3 entities across a river however he can only take himself and one of the three entities with him. </w:t>
      </w:r>
    </w:p>
    <w:p>
      <w:pPr/>
      <w:r>
        <w:rPr>
          <w:rFonts w:ascii="Times" w:hAnsi="Times" w:cs="Times"/>
          <w:sz w:val="24"/>
          <w:sz-cs w:val="24"/>
        </w:rPr>
        <w:t xml:space="preserve">His overall goal us to get all three across the to the other side of the river.</w:t>
      </w:r>
    </w:p>
    <w:p>
      <w:pPr/>
      <w:r>
        <w:rPr>
          <w:rFonts w:ascii="Times" w:hAnsi="Times" w:cs="Times"/>
          <w:sz w:val="24"/>
          <w:sz-cs w:val="24"/>
        </w:rPr>
        <w:t xml:space="preserve">Does he have to use the boat to begin with? Can the cat swim? Would the bird fly away of he was to not have the seeds with him? Can he get a bigger boat or find an alternative route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