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3627" w14:textId="5539E7F0" w:rsidR="009912FD" w:rsidRPr="009912FD" w:rsidRDefault="009912FD" w:rsidP="009912FD">
      <w:pPr>
        <w:spacing w:before="80"/>
        <w:rPr>
          <w:rStyle w:val="Strong"/>
          <w:bCs w:val="0"/>
          <w:sz w:val="28"/>
          <w:szCs w:val="28"/>
          <w:u w:val="single"/>
        </w:rPr>
      </w:pPr>
      <w:r>
        <w:rPr>
          <w:rStyle w:val="Strong"/>
          <w:bCs w:val="0"/>
          <w:sz w:val="28"/>
          <w:szCs w:val="28"/>
          <w:u w:val="single"/>
        </w:rPr>
        <w:t>Portfolio Objective</w:t>
      </w:r>
    </w:p>
    <w:p w14:paraId="7D878494" w14:textId="77777777" w:rsidR="00195A84" w:rsidRDefault="00195A84" w:rsidP="00195A84">
      <w:pPr>
        <w:spacing w:line="480" w:lineRule="auto"/>
        <w:rPr>
          <w:color w:val="222222"/>
          <w:shd w:val="clear" w:color="auto" w:fill="FFFFFF"/>
        </w:rPr>
      </w:pPr>
    </w:p>
    <w:p w14:paraId="55D73A3F" w14:textId="667A5122" w:rsidR="009912FD" w:rsidRPr="00195A84" w:rsidRDefault="009912FD" w:rsidP="00195A84">
      <w:pPr>
        <w:spacing w:line="480" w:lineRule="auto"/>
        <w:rPr>
          <w:color w:val="222222"/>
          <w:shd w:val="clear" w:color="auto" w:fill="FFFFFF"/>
        </w:rPr>
      </w:pPr>
      <w:r w:rsidRPr="00195A84">
        <w:rPr>
          <w:color w:val="222222"/>
          <w:shd w:val="clear" w:color="auto" w:fill="FFFFFF"/>
        </w:rPr>
        <w:t>The investment seeks long-term capital appreciation.</w:t>
      </w:r>
      <w:r w:rsidR="00195A84">
        <w:rPr>
          <w:color w:val="222222"/>
          <w:shd w:val="clear" w:color="auto" w:fill="FFFFFF"/>
        </w:rPr>
        <w:t xml:space="preserve"> </w:t>
      </w:r>
      <w:r w:rsidRPr="00195A84">
        <w:rPr>
          <w:color w:val="222222"/>
          <w:shd w:val="clear" w:color="auto" w:fill="FFFFFF"/>
        </w:rPr>
        <w:t>Normally, the fund places at least 80% of its net assets in the stock of smaller companies. It mainly invests in a diversified portfolio of domestic small-cap growth companies with strong growth prospects, including common stocks and other equity investments. A corporation is deemed to be a small cap company for the purposes of the fund if, at the time of the fund's investment, its market capitalization is less than that of the largest capitalized company listed by the Russell 2000 Index.</w:t>
      </w:r>
    </w:p>
    <w:p w14:paraId="3CE26BCA" w14:textId="77777777" w:rsidR="009912FD" w:rsidRPr="00195A84" w:rsidRDefault="009912FD" w:rsidP="00195A84">
      <w:pPr>
        <w:spacing w:line="480" w:lineRule="auto"/>
        <w:rPr>
          <w:color w:val="222222"/>
          <w:shd w:val="clear" w:color="auto" w:fill="FFFFFF"/>
        </w:rPr>
      </w:pPr>
      <w:bookmarkStart w:id="0" w:name="_3dajpf9pcwhh" w:colFirst="0" w:colLast="0"/>
      <w:bookmarkEnd w:id="0"/>
      <w:r w:rsidRPr="00195A84">
        <w:rPr>
          <w:color w:val="222222"/>
          <w:shd w:val="clear" w:color="auto" w:fill="FFFFFF"/>
        </w:rPr>
        <w:t>The Small Cap Growth Fund looks to invest in high-quality small cap companies with projected strong earnings growth.</w:t>
      </w:r>
    </w:p>
    <w:p w14:paraId="554DEEB6" w14:textId="77777777" w:rsidR="009912FD" w:rsidRPr="00195A84" w:rsidRDefault="009912FD" w:rsidP="00195A84">
      <w:pPr>
        <w:spacing w:line="480" w:lineRule="auto"/>
        <w:rPr>
          <w:color w:val="222222"/>
          <w:shd w:val="clear" w:color="auto" w:fill="FFFFFF"/>
        </w:rPr>
      </w:pPr>
      <w:bookmarkStart w:id="1" w:name="_qty2yp9qepm" w:colFirst="0" w:colLast="0"/>
      <w:bookmarkEnd w:id="1"/>
    </w:p>
    <w:p w14:paraId="29CB9D27" w14:textId="77777777" w:rsidR="009912FD" w:rsidRPr="00195A84" w:rsidRDefault="009912FD" w:rsidP="00195A84">
      <w:pPr>
        <w:spacing w:line="480" w:lineRule="auto"/>
        <w:rPr>
          <w:b/>
          <w:bCs/>
          <w:color w:val="222222"/>
          <w:shd w:val="clear" w:color="auto" w:fill="FFFFFF"/>
        </w:rPr>
      </w:pPr>
      <w:bookmarkStart w:id="2" w:name="_lkfb60tfcdsf" w:colFirst="0" w:colLast="0"/>
      <w:bookmarkEnd w:id="2"/>
      <w:r w:rsidRPr="00195A84">
        <w:rPr>
          <w:b/>
          <w:bCs/>
          <w:color w:val="222222"/>
          <w:shd w:val="clear" w:color="auto" w:fill="FFFFFF"/>
        </w:rPr>
        <w:t>Investment Strategy</w:t>
      </w:r>
    </w:p>
    <w:p w14:paraId="03589D44" w14:textId="77777777" w:rsidR="009912FD" w:rsidRPr="00195A84" w:rsidRDefault="009912FD" w:rsidP="00195A84">
      <w:pPr>
        <w:spacing w:line="480" w:lineRule="auto"/>
        <w:rPr>
          <w:color w:val="222222"/>
          <w:shd w:val="clear" w:color="auto" w:fill="FFFFFF"/>
        </w:rPr>
      </w:pPr>
      <w:r w:rsidRPr="00195A84">
        <w:rPr>
          <w:color w:val="222222"/>
          <w:shd w:val="clear" w:color="auto" w:fill="FFFFFF"/>
        </w:rPr>
        <w:t>Invests in credible companies with anticipated earnings growth</w:t>
      </w:r>
    </w:p>
    <w:p w14:paraId="7995E0BD" w14:textId="77777777" w:rsidR="009912FD" w:rsidRPr="00195A84" w:rsidRDefault="009912FD" w:rsidP="00195A84">
      <w:pPr>
        <w:spacing w:line="480" w:lineRule="auto"/>
        <w:rPr>
          <w:color w:val="222222"/>
          <w:shd w:val="clear" w:color="auto" w:fill="FFFFFF"/>
        </w:rPr>
      </w:pPr>
      <w:r w:rsidRPr="00195A84">
        <w:rPr>
          <w:color w:val="222222"/>
          <w:shd w:val="clear" w:color="auto" w:fill="FFFFFF"/>
        </w:rPr>
        <w:t>As part of the investment process, significant, in-depth fundamental research is conducted on an organization, its rivals, suppliers, and customers.</w:t>
      </w:r>
    </w:p>
    <w:p w14:paraId="05DBA4DB" w14:textId="77777777" w:rsidR="009912FD" w:rsidRPr="00195A84" w:rsidRDefault="009912FD" w:rsidP="00195A84">
      <w:pPr>
        <w:spacing w:line="480" w:lineRule="auto"/>
        <w:rPr>
          <w:color w:val="222222"/>
          <w:shd w:val="clear" w:color="auto" w:fill="FFFFFF"/>
        </w:rPr>
      </w:pPr>
      <w:r w:rsidRPr="00195A84">
        <w:rPr>
          <w:color w:val="222222"/>
          <w:shd w:val="clear" w:color="auto" w:fill="FFFFFF"/>
        </w:rPr>
        <w:t xml:space="preserve">invests in businesses that satisfy some or </w:t>
      </w:r>
      <w:proofErr w:type="gramStart"/>
      <w:r w:rsidRPr="00195A84">
        <w:rPr>
          <w:color w:val="222222"/>
          <w:shd w:val="clear" w:color="auto" w:fill="FFFFFF"/>
        </w:rPr>
        <w:t>all of</w:t>
      </w:r>
      <w:proofErr w:type="gramEnd"/>
      <w:r w:rsidRPr="00195A84">
        <w:rPr>
          <w:color w:val="222222"/>
          <w:shd w:val="clear" w:color="auto" w:fill="FFFFFF"/>
        </w:rPr>
        <w:t xml:space="preserve"> the requirements listed below: market leadership, distinctive goods or processes, strong marketing capabilities, value to customers, and rapid industry growth.</w:t>
      </w:r>
    </w:p>
    <w:p w14:paraId="56501224" w14:textId="77777777" w:rsidR="009912FD" w:rsidRPr="00195A84" w:rsidRDefault="009912FD" w:rsidP="00195A84">
      <w:pPr>
        <w:spacing w:line="480" w:lineRule="auto"/>
        <w:rPr>
          <w:b/>
          <w:bCs/>
          <w:color w:val="222222"/>
          <w:shd w:val="clear" w:color="auto" w:fill="FFFFFF"/>
        </w:rPr>
      </w:pPr>
      <w:bookmarkStart w:id="3" w:name="_nzixr7dw6n6v" w:colFirst="0" w:colLast="0"/>
      <w:bookmarkEnd w:id="3"/>
      <w:r w:rsidRPr="00195A84">
        <w:rPr>
          <w:b/>
          <w:bCs/>
          <w:color w:val="222222"/>
          <w:shd w:val="clear" w:color="auto" w:fill="FFFFFF"/>
        </w:rPr>
        <w:t>Why this fund?</w:t>
      </w:r>
    </w:p>
    <w:p w14:paraId="58D4CBD7" w14:textId="77777777" w:rsidR="009912FD" w:rsidRPr="00195A84" w:rsidRDefault="009912FD" w:rsidP="00195A84">
      <w:pPr>
        <w:spacing w:line="480" w:lineRule="auto"/>
        <w:rPr>
          <w:color w:val="222222"/>
          <w:shd w:val="clear" w:color="auto" w:fill="FFFFFF"/>
        </w:rPr>
      </w:pPr>
      <w:r w:rsidRPr="00195A84">
        <w:rPr>
          <w:color w:val="222222"/>
          <w:shd w:val="clear" w:color="auto" w:fill="FFFFFF"/>
        </w:rPr>
        <w:t xml:space="preserve">Seeks to provide strong, long-term investment results </w:t>
      </w:r>
    </w:p>
    <w:p w14:paraId="74219B95" w14:textId="2B01828D" w:rsidR="00195A84" w:rsidRDefault="009912FD" w:rsidP="009912FD">
      <w:pPr>
        <w:spacing w:line="480" w:lineRule="auto"/>
        <w:rPr>
          <w:rStyle w:val="Strong"/>
          <w:sz w:val="28"/>
          <w:szCs w:val="28"/>
          <w:u w:val="single"/>
        </w:rPr>
      </w:pPr>
      <w:r w:rsidRPr="00195A84">
        <w:rPr>
          <w:color w:val="222222"/>
          <w:shd w:val="clear" w:color="auto" w:fill="FFFFFF"/>
        </w:rPr>
        <w:t>utilizes a distinct way of thinking when it comes to growth investing because of the team's contrarian bias, sensitivity to value, and experience with emerging and microcap companies</w:t>
      </w:r>
      <w:r w:rsidR="00195A84">
        <w:rPr>
          <w:b/>
          <w:bCs/>
          <w:color w:val="222222"/>
          <w:shd w:val="clear" w:color="auto" w:fill="FFFFFF"/>
        </w:rPr>
        <w:t>.</w:t>
      </w:r>
      <w:r w:rsidR="00DC3E60" w:rsidRPr="008A5633">
        <w:rPr>
          <w:rStyle w:val="Strong"/>
          <w:sz w:val="28"/>
          <w:szCs w:val="28"/>
          <w:u w:val="single"/>
        </w:rPr>
        <w:t xml:space="preserve"> </w:t>
      </w:r>
    </w:p>
    <w:p w14:paraId="54F16B63" w14:textId="77777777" w:rsidR="00195A84" w:rsidRDefault="00195A84" w:rsidP="009912FD">
      <w:pPr>
        <w:spacing w:line="480" w:lineRule="auto"/>
        <w:rPr>
          <w:rStyle w:val="Strong"/>
          <w:sz w:val="28"/>
          <w:szCs w:val="28"/>
          <w:u w:val="single"/>
        </w:rPr>
      </w:pPr>
    </w:p>
    <w:p w14:paraId="4434DEDD" w14:textId="77777777" w:rsidR="00195A84" w:rsidRDefault="00195A84" w:rsidP="009912FD">
      <w:pPr>
        <w:spacing w:line="480" w:lineRule="auto"/>
        <w:rPr>
          <w:rStyle w:val="Strong"/>
          <w:sz w:val="28"/>
          <w:szCs w:val="28"/>
          <w:u w:val="single"/>
        </w:rPr>
      </w:pPr>
    </w:p>
    <w:p w14:paraId="449B48BE" w14:textId="52F60BF0" w:rsidR="000C2506" w:rsidRPr="008A5633" w:rsidRDefault="00340103" w:rsidP="009912FD">
      <w:pPr>
        <w:spacing w:line="480" w:lineRule="auto"/>
        <w:rPr>
          <w:rStyle w:val="Strong"/>
          <w:sz w:val="28"/>
          <w:szCs w:val="28"/>
          <w:u w:val="single"/>
        </w:rPr>
      </w:pPr>
      <w:r w:rsidRPr="008A5633">
        <w:rPr>
          <w:rStyle w:val="Strong"/>
          <w:sz w:val="28"/>
          <w:szCs w:val="28"/>
          <w:u w:val="single"/>
        </w:rPr>
        <w:lastRenderedPageBreak/>
        <w:t>Security Holdings</w:t>
      </w:r>
    </w:p>
    <w:p w14:paraId="51B8FE01" w14:textId="2891851B" w:rsidR="007E2245" w:rsidRPr="003E6336" w:rsidRDefault="00DC3E60" w:rsidP="00550302">
      <w:pPr>
        <w:spacing w:line="480" w:lineRule="auto"/>
        <w:rPr>
          <w:rStyle w:val="Strong"/>
        </w:rPr>
      </w:pPr>
      <w:r w:rsidRPr="003E6336">
        <w:rPr>
          <w:rStyle w:val="Strong"/>
        </w:rPr>
        <w:t xml:space="preserve">2.1 </w:t>
      </w:r>
      <w:r w:rsidR="007E2245" w:rsidRPr="003E6336">
        <w:rPr>
          <w:rStyle w:val="Strong"/>
        </w:rPr>
        <w:t>Top 10 holdings:</w:t>
      </w:r>
    </w:p>
    <w:p w14:paraId="7ACF88B5" w14:textId="04C93CB2" w:rsidR="0069304C" w:rsidRPr="003E6336" w:rsidRDefault="000D6C9C" w:rsidP="00550302">
      <w:pPr>
        <w:spacing w:line="480" w:lineRule="auto"/>
      </w:pPr>
      <w:r w:rsidRPr="003E6336">
        <w:rPr>
          <w:color w:val="222222"/>
          <w:shd w:val="clear" w:color="auto" w:fill="FFFFFF"/>
        </w:rPr>
        <w:t xml:space="preserve">          </w:t>
      </w:r>
      <w:proofErr w:type="spellStart"/>
      <w:r w:rsidR="0069304C" w:rsidRPr="003E6336">
        <w:rPr>
          <w:color w:val="222222"/>
          <w:shd w:val="clear" w:color="auto" w:fill="FFFFFF"/>
        </w:rPr>
        <w:t>Ongaki</w:t>
      </w:r>
      <w:proofErr w:type="spellEnd"/>
      <w:r w:rsidR="0069304C" w:rsidRPr="003E6336">
        <w:rPr>
          <w:color w:val="222222"/>
          <w:shd w:val="clear" w:color="auto" w:fill="FFFFFF"/>
        </w:rPr>
        <w:t xml:space="preserve"> (2021) </w:t>
      </w:r>
      <w:r w:rsidR="00972FD5" w:rsidRPr="003E6336">
        <w:rPr>
          <w:color w:val="222222"/>
          <w:shd w:val="clear" w:color="auto" w:fill="FFFFFF"/>
        </w:rPr>
        <w:t>examined the</w:t>
      </w:r>
      <w:r w:rsidR="0069304C" w:rsidRPr="003E6336">
        <w:rPr>
          <w:color w:val="222222"/>
          <w:shd w:val="clear" w:color="auto" w:fill="FFFFFF"/>
        </w:rPr>
        <w:t xml:space="preserve"> relationship between 1-year, 3-</w:t>
      </w:r>
      <w:proofErr w:type="gramStart"/>
      <w:r w:rsidR="0069304C" w:rsidRPr="003E6336">
        <w:rPr>
          <w:color w:val="222222"/>
          <w:shd w:val="clear" w:color="auto" w:fill="FFFFFF"/>
        </w:rPr>
        <w:t>year  and</w:t>
      </w:r>
      <w:proofErr w:type="gramEnd"/>
      <w:r w:rsidR="0069304C" w:rsidRPr="003E6336">
        <w:rPr>
          <w:color w:val="222222"/>
          <w:shd w:val="clear" w:color="auto" w:fill="FFFFFF"/>
        </w:rPr>
        <w:t xml:space="preserve"> 5-year annual returns and the percentage of top-10 holdings of funds, he concluded that </w:t>
      </w:r>
      <w:r w:rsidR="00A34EBD" w:rsidRPr="003E6336">
        <w:rPr>
          <w:color w:val="222222"/>
          <w:shd w:val="clear" w:color="auto" w:fill="FFFFFF"/>
        </w:rPr>
        <w:t xml:space="preserve">funds’ annual performance is statistically significantly impacted by the </w:t>
      </w:r>
      <w:r w:rsidR="0069304C" w:rsidRPr="003E6336">
        <w:t>top-10 percentage asset holdings</w:t>
      </w:r>
      <w:r w:rsidR="00A34EBD" w:rsidRPr="003E6336">
        <w:t>.</w:t>
      </w:r>
      <w:r w:rsidR="00937B87" w:rsidRPr="003E6336">
        <w:t xml:space="preserve"> Therefore, study the top 10 holdings of WBSIX is </w:t>
      </w:r>
      <w:r w:rsidR="00506559" w:rsidRPr="003E6336">
        <w:t>a</w:t>
      </w:r>
      <w:r w:rsidR="00937B87" w:rsidRPr="003E6336">
        <w:t xml:space="preserve"> necessary step for our analysis in later sections.</w:t>
      </w:r>
    </w:p>
    <w:p w14:paraId="5518BBE3" w14:textId="206F238D" w:rsidR="00AD32DE" w:rsidRPr="003E6336" w:rsidRDefault="000D6C9C" w:rsidP="00041583">
      <w:pPr>
        <w:spacing w:line="480" w:lineRule="auto"/>
      </w:pPr>
      <w:r w:rsidRPr="003E6336">
        <w:t xml:space="preserve">          </w:t>
      </w:r>
      <w:r w:rsidR="00340103" w:rsidRPr="003E6336">
        <w:t>As of 30</w:t>
      </w:r>
      <w:r w:rsidR="00340103" w:rsidRPr="003E6336">
        <w:rPr>
          <w:vertAlign w:val="superscript"/>
        </w:rPr>
        <w:t>th</w:t>
      </w:r>
      <w:r w:rsidR="00340103" w:rsidRPr="003E6336">
        <w:t xml:space="preserve"> </w:t>
      </w:r>
      <w:r w:rsidR="00A440C7" w:rsidRPr="003E6336">
        <w:t>September</w:t>
      </w:r>
      <w:r w:rsidR="00340103" w:rsidRPr="003E6336">
        <w:t xml:space="preserve"> 2022, the William Blair Small Cap Growth Fund I (WBSIX) has </w:t>
      </w:r>
      <w:r w:rsidR="004C338B" w:rsidRPr="003E6336">
        <w:t>totally 91</w:t>
      </w:r>
      <w:r w:rsidR="00340103" w:rsidRPr="003E6336">
        <w:t xml:space="preserve"> holdings. Its top 10 holdings and weight are list </w:t>
      </w:r>
      <w:r w:rsidR="00AD32DE" w:rsidRPr="003E6336">
        <w:t>in table 1</w:t>
      </w:r>
      <w:r w:rsidR="00340103" w:rsidRPr="003E6336">
        <w:t>:</w:t>
      </w:r>
    </w:p>
    <w:tbl>
      <w:tblPr>
        <w:tblStyle w:val="PlainTable1"/>
        <w:tblW w:w="0" w:type="auto"/>
        <w:jc w:val="center"/>
        <w:tblLook w:val="04A0" w:firstRow="1" w:lastRow="0" w:firstColumn="1" w:lastColumn="0" w:noHBand="0" w:noVBand="1"/>
      </w:tblPr>
      <w:tblGrid>
        <w:gridCol w:w="895"/>
        <w:gridCol w:w="3950"/>
        <w:gridCol w:w="2401"/>
      </w:tblGrid>
      <w:tr w:rsidR="00340103" w:rsidRPr="003E6336" w14:paraId="2B36E65B" w14:textId="77777777" w:rsidTr="00BF62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840D863" w14:textId="78DD5318" w:rsidR="00340103" w:rsidRPr="003E6336" w:rsidRDefault="00340103" w:rsidP="00BF6290">
            <w:pPr>
              <w:spacing w:line="360" w:lineRule="auto"/>
            </w:pPr>
            <w:r w:rsidRPr="003E6336">
              <w:t>#</w:t>
            </w:r>
          </w:p>
        </w:tc>
        <w:tc>
          <w:tcPr>
            <w:tcW w:w="3950" w:type="dxa"/>
          </w:tcPr>
          <w:p w14:paraId="3ACC84BB" w14:textId="5DC6B10E" w:rsidR="00340103" w:rsidRPr="003E6336" w:rsidRDefault="00340103" w:rsidP="00BF6290">
            <w:pPr>
              <w:spacing w:line="360" w:lineRule="auto"/>
              <w:cnfStyle w:val="100000000000" w:firstRow="1" w:lastRow="0" w:firstColumn="0" w:lastColumn="0" w:oddVBand="0" w:evenVBand="0" w:oddHBand="0" w:evenHBand="0" w:firstRowFirstColumn="0" w:firstRowLastColumn="0" w:lastRowFirstColumn="0" w:lastRowLastColumn="0"/>
            </w:pPr>
            <w:r w:rsidRPr="003E6336">
              <w:t>Company Name</w:t>
            </w:r>
          </w:p>
        </w:tc>
        <w:tc>
          <w:tcPr>
            <w:tcW w:w="2401" w:type="dxa"/>
          </w:tcPr>
          <w:p w14:paraId="530CC037" w14:textId="607769F2" w:rsidR="00340103" w:rsidRPr="003E6336" w:rsidRDefault="00340103" w:rsidP="00BF6290">
            <w:pPr>
              <w:spacing w:line="360" w:lineRule="auto"/>
              <w:cnfStyle w:val="100000000000" w:firstRow="1" w:lastRow="0" w:firstColumn="0" w:lastColumn="0" w:oddVBand="0" w:evenVBand="0" w:oddHBand="0" w:evenHBand="0" w:firstRowFirstColumn="0" w:firstRowLastColumn="0" w:lastRowFirstColumn="0" w:lastRowLastColumn="0"/>
            </w:pPr>
            <w:r w:rsidRPr="003E6336">
              <w:t xml:space="preserve">% </w:t>
            </w:r>
            <w:proofErr w:type="gramStart"/>
            <w:r w:rsidRPr="003E6336">
              <w:t>of</w:t>
            </w:r>
            <w:proofErr w:type="gramEnd"/>
            <w:r w:rsidRPr="003E6336">
              <w:t xml:space="preserve"> Fund</w:t>
            </w:r>
          </w:p>
        </w:tc>
      </w:tr>
      <w:tr w:rsidR="00340103" w:rsidRPr="003E6336" w14:paraId="40C64A1D" w14:textId="77777777" w:rsidTr="00BF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436604B" w14:textId="04B96A35" w:rsidR="00340103" w:rsidRPr="003E6336" w:rsidRDefault="00340103" w:rsidP="00BF6290">
            <w:pPr>
              <w:spacing w:line="360" w:lineRule="auto"/>
              <w:rPr>
                <w:color w:val="393939"/>
              </w:rPr>
            </w:pPr>
            <w:r w:rsidRPr="003E6336">
              <w:rPr>
                <w:color w:val="393939"/>
              </w:rPr>
              <w:t>1</w:t>
            </w:r>
          </w:p>
        </w:tc>
        <w:tc>
          <w:tcPr>
            <w:tcW w:w="3950" w:type="dxa"/>
          </w:tcPr>
          <w:p w14:paraId="74300BDE" w14:textId="3AB9F4A1"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BWX Technologies, Inc.</w:t>
            </w:r>
          </w:p>
        </w:tc>
        <w:tc>
          <w:tcPr>
            <w:tcW w:w="2401" w:type="dxa"/>
          </w:tcPr>
          <w:p w14:paraId="7244498B" w14:textId="11C3DABB"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2.5%</w:t>
            </w:r>
          </w:p>
        </w:tc>
      </w:tr>
      <w:tr w:rsidR="00340103" w:rsidRPr="003E6336" w14:paraId="22EF13D0" w14:textId="77777777" w:rsidTr="00BF6290">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41D959E" w14:textId="784E8F53" w:rsidR="00340103" w:rsidRPr="003E6336" w:rsidRDefault="00340103" w:rsidP="00BF6290">
            <w:pPr>
              <w:spacing w:line="360" w:lineRule="auto"/>
              <w:rPr>
                <w:color w:val="393939"/>
              </w:rPr>
            </w:pPr>
            <w:r w:rsidRPr="003E6336">
              <w:rPr>
                <w:color w:val="393939"/>
              </w:rPr>
              <w:t>2</w:t>
            </w:r>
          </w:p>
        </w:tc>
        <w:tc>
          <w:tcPr>
            <w:tcW w:w="3950" w:type="dxa"/>
          </w:tcPr>
          <w:p w14:paraId="121614AD" w14:textId="1518F823"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National Vision Holdings, Inc.</w:t>
            </w:r>
          </w:p>
        </w:tc>
        <w:tc>
          <w:tcPr>
            <w:tcW w:w="2401" w:type="dxa"/>
          </w:tcPr>
          <w:p w14:paraId="7423F807" w14:textId="3726D505"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2.4%</w:t>
            </w:r>
          </w:p>
        </w:tc>
      </w:tr>
      <w:tr w:rsidR="00340103" w:rsidRPr="003E6336" w14:paraId="1BE2C766" w14:textId="77777777" w:rsidTr="00BF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5BEEEF4" w14:textId="60FFFC07" w:rsidR="00340103" w:rsidRPr="003E6336" w:rsidRDefault="00340103" w:rsidP="00BF6290">
            <w:pPr>
              <w:spacing w:line="360" w:lineRule="auto"/>
              <w:rPr>
                <w:color w:val="393939"/>
              </w:rPr>
            </w:pPr>
            <w:r w:rsidRPr="003E6336">
              <w:rPr>
                <w:color w:val="393939"/>
              </w:rPr>
              <w:t>3</w:t>
            </w:r>
          </w:p>
        </w:tc>
        <w:tc>
          <w:tcPr>
            <w:tcW w:w="3950" w:type="dxa"/>
          </w:tcPr>
          <w:p w14:paraId="48D7E25C" w14:textId="1E01A1F2"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Verra Mobility Corporation</w:t>
            </w:r>
          </w:p>
        </w:tc>
        <w:tc>
          <w:tcPr>
            <w:tcW w:w="2401" w:type="dxa"/>
          </w:tcPr>
          <w:p w14:paraId="1D13CE6C" w14:textId="58D281F5"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2.3%</w:t>
            </w:r>
          </w:p>
        </w:tc>
      </w:tr>
      <w:tr w:rsidR="00340103" w:rsidRPr="003E6336" w14:paraId="4E586EE6" w14:textId="77777777" w:rsidTr="00BF6290">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1598D55" w14:textId="57748437" w:rsidR="00340103" w:rsidRPr="003E6336" w:rsidRDefault="00340103" w:rsidP="00BF6290">
            <w:pPr>
              <w:spacing w:line="360" w:lineRule="auto"/>
              <w:rPr>
                <w:color w:val="393939"/>
              </w:rPr>
            </w:pPr>
            <w:r w:rsidRPr="003E6336">
              <w:rPr>
                <w:color w:val="393939"/>
              </w:rPr>
              <w:t>4</w:t>
            </w:r>
          </w:p>
        </w:tc>
        <w:tc>
          <w:tcPr>
            <w:tcW w:w="3950" w:type="dxa"/>
          </w:tcPr>
          <w:p w14:paraId="66085670" w14:textId="28E1DBC3"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Casella Waste Systems, Inc.</w:t>
            </w:r>
          </w:p>
        </w:tc>
        <w:tc>
          <w:tcPr>
            <w:tcW w:w="2401" w:type="dxa"/>
          </w:tcPr>
          <w:p w14:paraId="68E90457" w14:textId="415717FF"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2.2%</w:t>
            </w:r>
          </w:p>
        </w:tc>
      </w:tr>
      <w:tr w:rsidR="00340103" w:rsidRPr="003E6336" w14:paraId="557C104B" w14:textId="77777777" w:rsidTr="00BF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152576B" w14:textId="2C010C7F" w:rsidR="00340103" w:rsidRPr="003E6336" w:rsidRDefault="00340103" w:rsidP="00BF6290">
            <w:pPr>
              <w:spacing w:line="360" w:lineRule="auto"/>
              <w:rPr>
                <w:color w:val="393939"/>
              </w:rPr>
            </w:pPr>
            <w:r w:rsidRPr="003E6336">
              <w:rPr>
                <w:color w:val="393939"/>
              </w:rPr>
              <w:t>5</w:t>
            </w:r>
          </w:p>
        </w:tc>
        <w:tc>
          <w:tcPr>
            <w:tcW w:w="3950" w:type="dxa"/>
          </w:tcPr>
          <w:p w14:paraId="31A3399C" w14:textId="138FF962"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TechnipFMC plc</w:t>
            </w:r>
          </w:p>
        </w:tc>
        <w:tc>
          <w:tcPr>
            <w:tcW w:w="2401" w:type="dxa"/>
          </w:tcPr>
          <w:p w14:paraId="5DE5D728" w14:textId="545F2DDF"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2.2%</w:t>
            </w:r>
          </w:p>
        </w:tc>
      </w:tr>
      <w:tr w:rsidR="00340103" w:rsidRPr="003E6336" w14:paraId="5C1922B9" w14:textId="77777777" w:rsidTr="00BF6290">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1D769A5" w14:textId="3F4927CC" w:rsidR="00340103" w:rsidRPr="003E6336" w:rsidRDefault="00340103" w:rsidP="00BF6290">
            <w:pPr>
              <w:spacing w:line="360" w:lineRule="auto"/>
              <w:rPr>
                <w:color w:val="393939"/>
              </w:rPr>
            </w:pPr>
            <w:r w:rsidRPr="003E6336">
              <w:rPr>
                <w:color w:val="393939"/>
              </w:rPr>
              <w:t>6</w:t>
            </w:r>
          </w:p>
        </w:tc>
        <w:tc>
          <w:tcPr>
            <w:tcW w:w="3950" w:type="dxa"/>
          </w:tcPr>
          <w:p w14:paraId="1389E344" w14:textId="7EF0A4D2"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Merit Medical Systems, Inc.</w:t>
            </w:r>
          </w:p>
        </w:tc>
        <w:tc>
          <w:tcPr>
            <w:tcW w:w="2401" w:type="dxa"/>
          </w:tcPr>
          <w:p w14:paraId="2BE06F43" w14:textId="6D97966B"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2.1%</w:t>
            </w:r>
          </w:p>
        </w:tc>
      </w:tr>
      <w:tr w:rsidR="00340103" w:rsidRPr="003E6336" w14:paraId="744FB824" w14:textId="77777777" w:rsidTr="00BF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EBDFD1F" w14:textId="748897C5" w:rsidR="00340103" w:rsidRPr="003E6336" w:rsidRDefault="00340103" w:rsidP="00BF6290">
            <w:pPr>
              <w:spacing w:line="360" w:lineRule="auto"/>
              <w:rPr>
                <w:color w:val="393939"/>
              </w:rPr>
            </w:pPr>
            <w:r w:rsidRPr="003E6336">
              <w:rPr>
                <w:color w:val="393939"/>
              </w:rPr>
              <w:t>7</w:t>
            </w:r>
          </w:p>
        </w:tc>
        <w:tc>
          <w:tcPr>
            <w:tcW w:w="3950" w:type="dxa"/>
          </w:tcPr>
          <w:p w14:paraId="4B55F4B0" w14:textId="7FFCB3D5"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The Brink's Company</w:t>
            </w:r>
          </w:p>
        </w:tc>
        <w:tc>
          <w:tcPr>
            <w:tcW w:w="2401" w:type="dxa"/>
          </w:tcPr>
          <w:p w14:paraId="3B98E9D7" w14:textId="223386FB"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1.9%</w:t>
            </w:r>
          </w:p>
        </w:tc>
      </w:tr>
      <w:tr w:rsidR="00340103" w:rsidRPr="003E6336" w14:paraId="4C26AB18" w14:textId="77777777" w:rsidTr="00BF6290">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798A656" w14:textId="37335887" w:rsidR="00340103" w:rsidRPr="003E6336" w:rsidRDefault="00340103" w:rsidP="00BF6290">
            <w:pPr>
              <w:spacing w:line="360" w:lineRule="auto"/>
              <w:rPr>
                <w:color w:val="393939"/>
              </w:rPr>
            </w:pPr>
            <w:r w:rsidRPr="003E6336">
              <w:rPr>
                <w:color w:val="393939"/>
              </w:rPr>
              <w:t>8</w:t>
            </w:r>
          </w:p>
        </w:tc>
        <w:tc>
          <w:tcPr>
            <w:tcW w:w="3950" w:type="dxa"/>
          </w:tcPr>
          <w:p w14:paraId="5668C14F" w14:textId="19A46A20"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Cameco Corporation</w:t>
            </w:r>
          </w:p>
        </w:tc>
        <w:tc>
          <w:tcPr>
            <w:tcW w:w="2401" w:type="dxa"/>
          </w:tcPr>
          <w:p w14:paraId="0BCCD57C" w14:textId="55F10590"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1.9%</w:t>
            </w:r>
          </w:p>
        </w:tc>
      </w:tr>
      <w:tr w:rsidR="00340103" w:rsidRPr="003E6336" w14:paraId="748F4363" w14:textId="77777777" w:rsidTr="00BF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5787B8C" w14:textId="47D8058A" w:rsidR="00340103" w:rsidRPr="003E6336" w:rsidRDefault="00340103" w:rsidP="00BF6290">
            <w:pPr>
              <w:spacing w:line="360" w:lineRule="auto"/>
              <w:rPr>
                <w:color w:val="393939"/>
              </w:rPr>
            </w:pPr>
            <w:r w:rsidRPr="003E6336">
              <w:rPr>
                <w:color w:val="393939"/>
              </w:rPr>
              <w:t>9</w:t>
            </w:r>
          </w:p>
        </w:tc>
        <w:tc>
          <w:tcPr>
            <w:tcW w:w="3950" w:type="dxa"/>
          </w:tcPr>
          <w:p w14:paraId="4E13CF7A" w14:textId="26320996"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WNS (Holdings) Limited</w:t>
            </w:r>
          </w:p>
        </w:tc>
        <w:tc>
          <w:tcPr>
            <w:tcW w:w="2401" w:type="dxa"/>
          </w:tcPr>
          <w:p w14:paraId="690B60D9" w14:textId="37E517B4"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color w:val="393939"/>
              </w:rPr>
              <w:t>1.8%</w:t>
            </w:r>
          </w:p>
        </w:tc>
      </w:tr>
      <w:tr w:rsidR="00340103" w:rsidRPr="003E6336" w14:paraId="115E118D" w14:textId="77777777" w:rsidTr="00BF6290">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F1C6952" w14:textId="0FA2FB0A" w:rsidR="00340103" w:rsidRPr="003E6336" w:rsidRDefault="00340103" w:rsidP="00BF6290">
            <w:pPr>
              <w:spacing w:line="360" w:lineRule="auto"/>
              <w:rPr>
                <w:color w:val="393939"/>
              </w:rPr>
            </w:pPr>
            <w:r w:rsidRPr="003E6336">
              <w:rPr>
                <w:color w:val="393939"/>
              </w:rPr>
              <w:t>10</w:t>
            </w:r>
          </w:p>
        </w:tc>
        <w:tc>
          <w:tcPr>
            <w:tcW w:w="3950" w:type="dxa"/>
          </w:tcPr>
          <w:p w14:paraId="0D7E719C" w14:textId="0A2896F5"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Albany International Corp.</w:t>
            </w:r>
          </w:p>
        </w:tc>
        <w:tc>
          <w:tcPr>
            <w:tcW w:w="2401" w:type="dxa"/>
          </w:tcPr>
          <w:p w14:paraId="46D91742" w14:textId="0FCA9E55" w:rsidR="00340103" w:rsidRPr="003E6336" w:rsidRDefault="00340103" w:rsidP="00BF6290">
            <w:pPr>
              <w:spacing w:line="360" w:lineRule="auto"/>
              <w:cnfStyle w:val="000000000000" w:firstRow="0" w:lastRow="0" w:firstColumn="0" w:lastColumn="0" w:oddVBand="0" w:evenVBand="0" w:oddHBand="0" w:evenHBand="0" w:firstRowFirstColumn="0" w:firstRowLastColumn="0" w:lastRowFirstColumn="0" w:lastRowLastColumn="0"/>
            </w:pPr>
            <w:r w:rsidRPr="003E6336">
              <w:rPr>
                <w:color w:val="393939"/>
              </w:rPr>
              <w:t>1.7%</w:t>
            </w:r>
          </w:p>
        </w:tc>
      </w:tr>
      <w:tr w:rsidR="00340103" w:rsidRPr="003E6336" w14:paraId="0C011092" w14:textId="77777777" w:rsidTr="00BF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AE880AD" w14:textId="3C1ECCFD" w:rsidR="00340103" w:rsidRPr="003E6336" w:rsidRDefault="004B65DE" w:rsidP="00BF6290">
            <w:pPr>
              <w:spacing w:line="360" w:lineRule="auto"/>
              <w:rPr>
                <w:rStyle w:val="Strong"/>
                <w:color w:val="393939"/>
              </w:rPr>
            </w:pPr>
            <w:r w:rsidRPr="003E6336">
              <w:rPr>
                <w:rStyle w:val="Strong"/>
                <w:color w:val="393939"/>
              </w:rPr>
              <w:t>T</w:t>
            </w:r>
            <w:r w:rsidRPr="003E6336">
              <w:rPr>
                <w:rStyle w:val="Strong"/>
              </w:rPr>
              <w:t>otal</w:t>
            </w:r>
          </w:p>
        </w:tc>
        <w:tc>
          <w:tcPr>
            <w:tcW w:w="3950" w:type="dxa"/>
          </w:tcPr>
          <w:p w14:paraId="30BF9C04" w14:textId="70012A34"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rStyle w:val="Strong"/>
                <w:color w:val="393939"/>
              </w:rPr>
              <w:t>Total Top 10</w:t>
            </w:r>
          </w:p>
        </w:tc>
        <w:tc>
          <w:tcPr>
            <w:tcW w:w="2401" w:type="dxa"/>
          </w:tcPr>
          <w:p w14:paraId="41D10D89" w14:textId="1AAE1BF9" w:rsidR="00340103" w:rsidRPr="003E6336" w:rsidRDefault="00340103" w:rsidP="00BF6290">
            <w:pPr>
              <w:spacing w:line="360" w:lineRule="auto"/>
              <w:cnfStyle w:val="000000100000" w:firstRow="0" w:lastRow="0" w:firstColumn="0" w:lastColumn="0" w:oddVBand="0" w:evenVBand="0" w:oddHBand="1" w:evenHBand="0" w:firstRowFirstColumn="0" w:firstRowLastColumn="0" w:lastRowFirstColumn="0" w:lastRowLastColumn="0"/>
            </w:pPr>
            <w:r w:rsidRPr="003E6336">
              <w:rPr>
                <w:rStyle w:val="Strong"/>
                <w:color w:val="393939"/>
              </w:rPr>
              <w:t>21.0%</w:t>
            </w:r>
          </w:p>
        </w:tc>
      </w:tr>
    </w:tbl>
    <w:p w14:paraId="1E817280" w14:textId="48017910" w:rsidR="00041583" w:rsidRDefault="00041583" w:rsidP="00041583">
      <w:pPr>
        <w:spacing w:before="240" w:after="240" w:line="480" w:lineRule="auto"/>
        <w:jc w:val="center"/>
      </w:pPr>
      <w:r w:rsidRPr="003E6336">
        <w:t>Table 1: Top 10 holdings of WBSIX (William Blair, 2022)</w:t>
      </w:r>
    </w:p>
    <w:p w14:paraId="45D0B3E1" w14:textId="62B395A9" w:rsidR="00A440C7" w:rsidRPr="003E6336" w:rsidRDefault="00D3577D" w:rsidP="00CE1461">
      <w:pPr>
        <w:spacing w:before="240" w:after="240" w:line="480" w:lineRule="auto"/>
      </w:pPr>
      <w:r w:rsidRPr="003E6336">
        <w:t>Table 1 shows that the top 10 holdings account for 21% of the fund.</w:t>
      </w:r>
    </w:p>
    <w:p w14:paraId="16B971D6" w14:textId="75EA51DB" w:rsidR="00846F5C" w:rsidRPr="003E6336" w:rsidRDefault="00A41F0B" w:rsidP="001105C3">
      <w:pPr>
        <w:spacing w:line="480" w:lineRule="auto"/>
        <w:rPr>
          <w:rStyle w:val="Strong"/>
        </w:rPr>
      </w:pPr>
      <w:r>
        <w:rPr>
          <w:rStyle w:val="Strong"/>
        </w:rPr>
        <w:t xml:space="preserve">2.2 </w:t>
      </w:r>
      <w:r w:rsidR="00846F5C" w:rsidRPr="003E6336">
        <w:rPr>
          <w:rStyle w:val="Strong"/>
        </w:rPr>
        <w:t>Total Fund Assets</w:t>
      </w:r>
    </w:p>
    <w:p w14:paraId="3D7A7CCF" w14:textId="2FDB79AB" w:rsidR="00CA62FF" w:rsidRPr="003E6336" w:rsidRDefault="00CA62FF" w:rsidP="00056C17">
      <w:pPr>
        <w:spacing w:line="480" w:lineRule="auto"/>
        <w:ind w:firstLine="720"/>
      </w:pPr>
      <w:r w:rsidRPr="003E6336">
        <w:t xml:space="preserve">As of 30th </w:t>
      </w:r>
      <w:r w:rsidR="0030769F" w:rsidRPr="003E6336">
        <w:t>September</w:t>
      </w:r>
      <w:r w:rsidRPr="003E6336">
        <w:t xml:space="preserve"> 2022, the total net assets </w:t>
      </w:r>
      <w:r w:rsidR="0039028F">
        <w:t xml:space="preserve">value </w:t>
      </w:r>
      <w:r w:rsidRPr="003E6336">
        <w:t>of WBSIX is $498 million</w:t>
      </w:r>
      <w:r w:rsidR="00FA1316" w:rsidRPr="003E6336">
        <w:t>.</w:t>
      </w:r>
    </w:p>
    <w:p w14:paraId="00188D6E" w14:textId="0632DAF4" w:rsidR="00846F5C" w:rsidRPr="003E6336" w:rsidRDefault="00A41F0B" w:rsidP="001105C3">
      <w:pPr>
        <w:spacing w:line="480" w:lineRule="auto"/>
        <w:rPr>
          <w:rStyle w:val="Strong"/>
        </w:rPr>
      </w:pPr>
      <w:r>
        <w:rPr>
          <w:rStyle w:val="Strong"/>
        </w:rPr>
        <w:lastRenderedPageBreak/>
        <w:t xml:space="preserve">2.3 </w:t>
      </w:r>
      <w:r w:rsidR="00846F5C" w:rsidRPr="003E6336">
        <w:rPr>
          <w:rStyle w:val="Strong"/>
        </w:rPr>
        <w:t>Number of Assets</w:t>
      </w:r>
    </w:p>
    <w:p w14:paraId="0B2B3329" w14:textId="324AC863" w:rsidR="00846F5C" w:rsidRPr="003E6336" w:rsidRDefault="0087081E" w:rsidP="00846A2E">
      <w:pPr>
        <w:spacing w:before="240" w:after="240" w:line="480" w:lineRule="auto"/>
        <w:ind w:firstLine="720"/>
      </w:pPr>
      <w:r w:rsidRPr="003E6336">
        <w:t xml:space="preserve">WBSIX has a total number of 91 holdings, </w:t>
      </w:r>
      <w:r w:rsidR="003F1105" w:rsidRPr="003E6336">
        <w:t>and</w:t>
      </w:r>
      <w:r w:rsidRPr="003E6336">
        <w:t xml:space="preserve"> extends across health </w:t>
      </w:r>
      <w:r w:rsidR="00FA1316" w:rsidRPr="003E6336">
        <w:t xml:space="preserve">care, </w:t>
      </w:r>
      <w:r w:rsidRPr="003E6336">
        <w:t>industries, information technology, consumer discretionary, energy section</w:t>
      </w:r>
      <w:r w:rsidR="003F1105" w:rsidRPr="003E6336">
        <w:t>, etc., which account for 23.7%, 21.5%, 19.1%, 11.6%, 9.2</w:t>
      </w:r>
      <w:r w:rsidR="00BF4FF7" w:rsidRPr="003E6336">
        <w:t>% of the total asset</w:t>
      </w:r>
      <w:r w:rsidR="003F1105" w:rsidRPr="003E6336">
        <w:t xml:space="preserve"> respectively. </w:t>
      </w:r>
    </w:p>
    <w:p w14:paraId="377A9A8A" w14:textId="3F824B60" w:rsidR="008A5633" w:rsidRDefault="008A5633" w:rsidP="007D08CF">
      <w:pPr>
        <w:spacing w:line="480" w:lineRule="auto"/>
        <w:rPr>
          <w:rStyle w:val="Strong"/>
          <w:sz w:val="28"/>
          <w:szCs w:val="28"/>
          <w:u w:val="single"/>
        </w:rPr>
      </w:pPr>
      <w:r w:rsidRPr="008A5633">
        <w:rPr>
          <w:rStyle w:val="Strong"/>
          <w:sz w:val="28"/>
          <w:szCs w:val="28"/>
          <w:u w:val="single"/>
        </w:rPr>
        <w:t>Portfolio Expectations</w:t>
      </w:r>
    </w:p>
    <w:p w14:paraId="7599F26E" w14:textId="4FA91332" w:rsidR="004D0D63" w:rsidRPr="004D0D63" w:rsidRDefault="008A5633" w:rsidP="004D0D63">
      <w:pPr>
        <w:spacing w:line="480" w:lineRule="auto"/>
        <w:rPr>
          <w:lang w:val="en-IN"/>
        </w:rPr>
      </w:pPr>
      <w:r w:rsidRPr="008A5633">
        <w:rPr>
          <w:rStyle w:val="Strong"/>
          <w:b w:val="0"/>
          <w:bCs w:val="0"/>
        </w:rPr>
        <w:t xml:space="preserve">The </w:t>
      </w:r>
      <w:r w:rsidR="005A6A78">
        <w:rPr>
          <w:rStyle w:val="Strong"/>
          <w:b w:val="0"/>
          <w:bCs w:val="0"/>
        </w:rPr>
        <w:t>S</w:t>
      </w:r>
      <w:r w:rsidRPr="008A5633">
        <w:rPr>
          <w:rStyle w:val="Strong"/>
          <w:b w:val="0"/>
          <w:bCs w:val="0"/>
        </w:rPr>
        <w:t>mall cap growth fund</w:t>
      </w:r>
      <w:r w:rsidR="005A6A78">
        <w:rPr>
          <w:rStyle w:val="Strong"/>
          <w:b w:val="0"/>
          <w:bCs w:val="0"/>
        </w:rPr>
        <w:t xml:space="preserve"> Class I</w:t>
      </w:r>
      <w:r w:rsidRPr="008A5633">
        <w:rPr>
          <w:rStyle w:val="Strong"/>
          <w:b w:val="0"/>
          <w:bCs w:val="0"/>
        </w:rPr>
        <w:t xml:space="preserve"> managed by William Blair Ltd.</w:t>
      </w:r>
      <w:r>
        <w:rPr>
          <w:rStyle w:val="Strong"/>
          <w:b w:val="0"/>
          <w:bCs w:val="0"/>
        </w:rPr>
        <w:t xml:space="preserve"> </w:t>
      </w:r>
      <w:r w:rsidR="00A04542">
        <w:rPr>
          <w:rStyle w:val="Strong"/>
          <w:b w:val="0"/>
          <w:bCs w:val="0"/>
        </w:rPr>
        <w:t>e</w:t>
      </w:r>
      <w:r>
        <w:rPr>
          <w:rStyle w:val="Strong"/>
          <w:b w:val="0"/>
          <w:bCs w:val="0"/>
        </w:rPr>
        <w:t>stablished on 27</w:t>
      </w:r>
      <w:r w:rsidRPr="008A5633">
        <w:rPr>
          <w:rStyle w:val="Strong"/>
          <w:b w:val="0"/>
          <w:bCs w:val="0"/>
          <w:vertAlign w:val="superscript"/>
        </w:rPr>
        <w:t>th</w:t>
      </w:r>
      <w:r>
        <w:rPr>
          <w:rStyle w:val="Strong"/>
          <w:b w:val="0"/>
          <w:bCs w:val="0"/>
        </w:rPr>
        <w:t xml:space="preserve"> December 1999</w:t>
      </w:r>
      <w:r w:rsidR="00A04542">
        <w:rPr>
          <w:rStyle w:val="Strong"/>
          <w:b w:val="0"/>
          <w:bCs w:val="0"/>
        </w:rPr>
        <w:t xml:space="preserve">. The fund management focuses on </w:t>
      </w:r>
      <w:r w:rsidR="00F07D95">
        <w:rPr>
          <w:rStyle w:val="Strong"/>
          <w:b w:val="0"/>
          <w:bCs w:val="0"/>
        </w:rPr>
        <w:t xml:space="preserve">long term investments in </w:t>
      </w:r>
      <w:r w:rsidR="00A04542">
        <w:rPr>
          <w:rStyle w:val="Strong"/>
          <w:b w:val="0"/>
          <w:bCs w:val="0"/>
        </w:rPr>
        <w:t xml:space="preserve">small cap growth companies which are expected to generate a </w:t>
      </w:r>
      <w:r w:rsidR="008433A4">
        <w:rPr>
          <w:rStyle w:val="Strong"/>
          <w:b w:val="0"/>
          <w:bCs w:val="0"/>
        </w:rPr>
        <w:t>constant</w:t>
      </w:r>
      <w:r w:rsidR="00A04542">
        <w:rPr>
          <w:rStyle w:val="Strong"/>
          <w:b w:val="0"/>
          <w:bCs w:val="0"/>
        </w:rPr>
        <w:t xml:space="preserve"> growth </w:t>
      </w:r>
      <w:r w:rsidR="008433A4">
        <w:rPr>
          <w:rStyle w:val="Strong"/>
          <w:b w:val="0"/>
          <w:bCs w:val="0"/>
        </w:rPr>
        <w:t>earnings</w:t>
      </w:r>
      <w:r w:rsidR="004D0D63">
        <w:rPr>
          <w:rStyle w:val="Strong"/>
          <w:b w:val="0"/>
          <w:bCs w:val="0"/>
        </w:rPr>
        <w:t>.</w:t>
      </w:r>
      <w:r w:rsidR="004D0D63">
        <w:t xml:space="preserve"> </w:t>
      </w:r>
      <w:r w:rsidR="004D0D63" w:rsidRPr="004D0D63">
        <w:rPr>
          <w:rStyle w:val="Strong"/>
          <w:b w:val="0"/>
          <w:bCs w:val="0"/>
        </w:rPr>
        <w:t>William Blair's Research Agenda ensures that portfolio managers and</w:t>
      </w:r>
      <w:r w:rsidR="004D0D63">
        <w:rPr>
          <w:rStyle w:val="Strong"/>
          <w:b w:val="0"/>
          <w:bCs w:val="0"/>
        </w:rPr>
        <w:t xml:space="preserve"> </w:t>
      </w:r>
      <w:r w:rsidR="004D0D63" w:rsidRPr="004D0D63">
        <w:rPr>
          <w:rStyle w:val="Strong"/>
          <w:b w:val="0"/>
          <w:bCs w:val="0"/>
        </w:rPr>
        <w:t xml:space="preserve">analysts </w:t>
      </w:r>
      <w:proofErr w:type="gramStart"/>
      <w:r w:rsidR="004D0D63">
        <w:rPr>
          <w:rStyle w:val="Strong"/>
          <w:b w:val="0"/>
          <w:bCs w:val="0"/>
        </w:rPr>
        <w:t xml:space="preserve">focus </w:t>
      </w:r>
      <w:r w:rsidR="004D0D63" w:rsidRPr="004D0D63">
        <w:rPr>
          <w:rStyle w:val="Strong"/>
          <w:b w:val="0"/>
          <w:bCs w:val="0"/>
        </w:rPr>
        <w:t xml:space="preserve">on the most appealing portfolio </w:t>
      </w:r>
      <w:r w:rsidR="004D0D63">
        <w:rPr>
          <w:rStyle w:val="Strong"/>
          <w:b w:val="0"/>
          <w:bCs w:val="0"/>
        </w:rPr>
        <w:t>assets</w:t>
      </w:r>
      <w:r w:rsidR="004D0D63" w:rsidRPr="004D0D63">
        <w:rPr>
          <w:rStyle w:val="Strong"/>
          <w:b w:val="0"/>
          <w:bCs w:val="0"/>
        </w:rPr>
        <w:t xml:space="preserve"> at all times</w:t>
      </w:r>
      <w:proofErr w:type="gramEnd"/>
      <w:r w:rsidR="004D0D63" w:rsidRPr="004D0D63">
        <w:rPr>
          <w:rStyle w:val="Strong"/>
          <w:b w:val="0"/>
          <w:bCs w:val="0"/>
        </w:rPr>
        <w:t>.</w:t>
      </w:r>
      <w:r w:rsidR="004D0D63">
        <w:rPr>
          <w:rStyle w:val="Strong"/>
          <w:b w:val="0"/>
          <w:bCs w:val="0"/>
        </w:rPr>
        <w:t xml:space="preserve"> </w:t>
      </w:r>
      <w:r w:rsidR="004D0D63" w:rsidRPr="004D0D63">
        <w:rPr>
          <w:rStyle w:val="Strong"/>
          <w:b w:val="0"/>
          <w:bCs w:val="0"/>
        </w:rPr>
        <w:t>Given the team's contrarian bias, valuation sensitivity, and experience with undiscovered and microcap companies, growth investing requires a unique thought process.</w:t>
      </w:r>
      <w:r w:rsidR="00FD7846">
        <w:rPr>
          <w:rStyle w:val="Strong"/>
          <w:b w:val="0"/>
          <w:bCs w:val="0"/>
        </w:rPr>
        <w:t xml:space="preserve"> Majority of the fund’s assets are in small cap domestic equity securities, </w:t>
      </w:r>
      <w:r w:rsidR="00FD7846" w:rsidRPr="00FD7846">
        <w:rPr>
          <w:rStyle w:val="Strong"/>
          <w:b w:val="0"/>
          <w:bCs w:val="0"/>
        </w:rPr>
        <w:t>with the primary risk being that the value of the equity securities it holds will decline.</w:t>
      </w:r>
    </w:p>
    <w:p w14:paraId="70C4F6D4" w14:textId="797EDD09" w:rsidR="00A85AA2" w:rsidRPr="00A85AA2" w:rsidRDefault="00FC076D" w:rsidP="00A85AA2">
      <w:pPr>
        <w:spacing w:line="480" w:lineRule="auto"/>
        <w:rPr>
          <w:rStyle w:val="Strong"/>
          <w:rFonts w:eastAsiaTheme="minorEastAsia"/>
          <w:sz w:val="28"/>
          <w:szCs w:val="28"/>
        </w:rPr>
      </w:pPr>
      <w:r>
        <w:rPr>
          <w:rStyle w:val="Strong"/>
          <w:rFonts w:eastAsiaTheme="minorEastAsia"/>
          <w:sz w:val="28"/>
          <w:szCs w:val="28"/>
        </w:rPr>
        <w:t xml:space="preserve">Expected Return- </w:t>
      </w:r>
      <w:r w:rsidR="00A85AA2" w:rsidRPr="00A85AA2">
        <w:rPr>
          <w:rStyle w:val="Strong"/>
          <w:rFonts w:eastAsiaTheme="minorEastAsia"/>
          <w:sz w:val="28"/>
          <w:szCs w:val="28"/>
        </w:rPr>
        <w:t>CAPM Model</w:t>
      </w:r>
    </w:p>
    <w:p w14:paraId="4F3E058C" w14:textId="77777777" w:rsidR="00A85AA2" w:rsidRPr="00A85AA2" w:rsidRDefault="00A85AA2" w:rsidP="00A85AA2">
      <w:pPr>
        <w:spacing w:line="480" w:lineRule="auto"/>
        <w:rPr>
          <w:rStyle w:val="Strong"/>
          <w:rFonts w:eastAsiaTheme="minorEastAsia"/>
          <w:b w:val="0"/>
          <w:bCs w:val="0"/>
        </w:rPr>
      </w:pPr>
      <w:r w:rsidRPr="00A85AA2">
        <w:rPr>
          <w:rStyle w:val="Strong"/>
          <w:rFonts w:eastAsiaTheme="minorEastAsia"/>
          <w:b w:val="0"/>
          <w:bCs w:val="0"/>
        </w:rPr>
        <w:t xml:space="preserve">For the CAPM model, we assume a beta of 0.892 as reported by the William Blair Funds reports for the 10y beta. Also, the figure for the </w:t>
      </w:r>
      <w:proofErr w:type="gramStart"/>
      <w:r w:rsidRPr="00A85AA2">
        <w:rPr>
          <w:rStyle w:val="Strong"/>
          <w:rFonts w:eastAsiaTheme="minorEastAsia"/>
          <w:b w:val="0"/>
          <w:bCs w:val="0"/>
        </w:rPr>
        <w:t>risk free</w:t>
      </w:r>
      <w:proofErr w:type="gramEnd"/>
      <w:r w:rsidRPr="00A85AA2">
        <w:rPr>
          <w:rStyle w:val="Strong"/>
          <w:rFonts w:eastAsiaTheme="minorEastAsia"/>
          <w:b w:val="0"/>
          <w:bCs w:val="0"/>
        </w:rPr>
        <w:t xml:space="preserve"> rate is assumed as the current 3-month U.S. Treasury Bond yield since over 70% of the fund’s securities are in the U.S. Also because of the fund’s U.S. presence, we assume the expected market return for calculation </w:t>
      </w:r>
      <w:proofErr w:type="spellStart"/>
      <w:r w:rsidRPr="00A85AA2">
        <w:rPr>
          <w:rStyle w:val="Strong"/>
          <w:rFonts w:eastAsiaTheme="minorEastAsia"/>
          <w:b w:val="0"/>
          <w:bCs w:val="0"/>
        </w:rPr>
        <w:t>od</w:t>
      </w:r>
      <w:proofErr w:type="spellEnd"/>
      <w:r w:rsidRPr="00A85AA2">
        <w:rPr>
          <w:rStyle w:val="Strong"/>
          <w:rFonts w:eastAsiaTheme="minorEastAsia"/>
          <w:b w:val="0"/>
          <w:bCs w:val="0"/>
        </w:rPr>
        <w:t xml:space="preserve"> the risk premium to be 10.75% - which is the 10-year average annualized return of the Russell 2000 Growth Index (as reported by Morningstar). The expected return comes out as 9.66%.</w:t>
      </w:r>
    </w:p>
    <w:p w14:paraId="1967A04E" w14:textId="77777777" w:rsidR="00A85AA2" w:rsidRPr="00A85AA2" w:rsidRDefault="00A85AA2" w:rsidP="00A85AA2">
      <w:pPr>
        <w:spacing w:line="480" w:lineRule="auto"/>
        <w:rPr>
          <w:rStyle w:val="Strong"/>
          <w:rFonts w:eastAsiaTheme="minorEastAsia"/>
          <w:b w:val="0"/>
          <w:bCs w:val="0"/>
        </w:rPr>
      </w:pPr>
      <w:r w:rsidRPr="00A85AA2">
        <w:rPr>
          <w:rStyle w:val="Strong"/>
          <w:rFonts w:eastAsiaTheme="minorEastAsia"/>
          <w:b w:val="0"/>
          <w:bCs w:val="0"/>
        </w:rPr>
        <w:t>Expected return E(R) = Riske free rate + Risk premium</w:t>
      </w:r>
    </w:p>
    <w:p w14:paraId="4485CBE2" w14:textId="77777777" w:rsidR="00195A84" w:rsidRDefault="00A85AA2" w:rsidP="00A85AA2">
      <w:pPr>
        <w:spacing w:line="480" w:lineRule="auto"/>
        <w:rPr>
          <w:rStyle w:val="Strong"/>
          <w:rFonts w:eastAsiaTheme="minorEastAsia"/>
          <w:b w:val="0"/>
          <w:bCs w:val="0"/>
        </w:rPr>
      </w:pPr>
      <w:r w:rsidRPr="00A85AA2">
        <w:rPr>
          <w:rStyle w:val="Strong"/>
          <w:rFonts w:eastAsiaTheme="minorEastAsia"/>
          <w:b w:val="0"/>
          <w:bCs w:val="0"/>
        </w:rPr>
        <w:t>Risk Premium = Beta (Expected Market Return – Risk Free Rate)</w:t>
      </w:r>
    </w:p>
    <w:p w14:paraId="694A0549" w14:textId="038FF3BA" w:rsidR="00A85AA2" w:rsidRPr="00A85AA2" w:rsidRDefault="00A85AA2" w:rsidP="00A85AA2">
      <w:pPr>
        <w:spacing w:line="480" w:lineRule="auto"/>
        <w:rPr>
          <w:rStyle w:val="Strong"/>
          <w:rFonts w:eastAsiaTheme="minorEastAsia"/>
          <w:b w:val="0"/>
          <w:bCs w:val="0"/>
        </w:rPr>
      </w:pPr>
      <w:r w:rsidRPr="00A85AA2">
        <w:rPr>
          <w:rStyle w:val="Strong"/>
          <w:rFonts w:eastAsiaTheme="minorEastAsia"/>
          <w:b w:val="0"/>
          <w:bCs w:val="0"/>
        </w:rPr>
        <w:lastRenderedPageBreak/>
        <w:t>Risk Free Rate = 0.7%</w:t>
      </w:r>
    </w:p>
    <w:p w14:paraId="57B9C17F" w14:textId="77777777" w:rsidR="00A85AA2" w:rsidRPr="00A85AA2" w:rsidRDefault="00A85AA2" w:rsidP="00A85AA2">
      <w:pPr>
        <w:spacing w:line="480" w:lineRule="auto"/>
        <w:rPr>
          <w:rStyle w:val="Strong"/>
          <w:rFonts w:eastAsiaTheme="minorEastAsia"/>
          <w:b w:val="0"/>
          <w:bCs w:val="0"/>
        </w:rPr>
      </w:pPr>
      <w:r w:rsidRPr="00A85AA2">
        <w:rPr>
          <w:rStyle w:val="Strong"/>
          <w:rFonts w:eastAsiaTheme="minorEastAsia"/>
          <w:b w:val="0"/>
          <w:bCs w:val="0"/>
        </w:rPr>
        <w:t>Beta= 0.892</w:t>
      </w:r>
    </w:p>
    <w:p w14:paraId="0C410845" w14:textId="77777777" w:rsidR="00A85AA2" w:rsidRPr="00A85AA2" w:rsidRDefault="00A85AA2" w:rsidP="00A85AA2">
      <w:pPr>
        <w:spacing w:line="480" w:lineRule="auto"/>
        <w:rPr>
          <w:rStyle w:val="Strong"/>
          <w:rFonts w:eastAsiaTheme="minorEastAsia"/>
          <w:b w:val="0"/>
          <w:bCs w:val="0"/>
        </w:rPr>
      </w:pPr>
      <w:r w:rsidRPr="00A85AA2">
        <w:rPr>
          <w:rStyle w:val="Strong"/>
          <w:rFonts w:eastAsiaTheme="minorEastAsia"/>
          <w:b w:val="0"/>
          <w:bCs w:val="0"/>
        </w:rPr>
        <w:t>Expected Market Return = 10.75%</w:t>
      </w:r>
    </w:p>
    <w:p w14:paraId="35E6FE75" w14:textId="77777777" w:rsidR="00A85AA2" w:rsidRPr="00A85AA2" w:rsidRDefault="00A85AA2" w:rsidP="00A85AA2">
      <w:pPr>
        <w:spacing w:line="480" w:lineRule="auto"/>
        <w:rPr>
          <w:rStyle w:val="Strong"/>
          <w:rFonts w:eastAsiaTheme="minorEastAsia"/>
          <w:b w:val="0"/>
          <w:bCs w:val="0"/>
        </w:rPr>
      </w:pPr>
      <w:r w:rsidRPr="00A85AA2">
        <w:rPr>
          <w:rStyle w:val="Strong"/>
          <w:rFonts w:eastAsiaTheme="minorEastAsia"/>
          <w:b w:val="0"/>
          <w:bCs w:val="0"/>
        </w:rPr>
        <w:t>E(R)= 0.007+0.892(0.1075-0.007)</w:t>
      </w:r>
    </w:p>
    <w:p w14:paraId="1081EAAC" w14:textId="79BC9B9A" w:rsidR="008433A4" w:rsidRPr="008433A4" w:rsidRDefault="00A85AA2" w:rsidP="00A85AA2">
      <w:pPr>
        <w:spacing w:line="480" w:lineRule="auto"/>
        <w:rPr>
          <w:rStyle w:val="Strong"/>
          <w:b w:val="0"/>
          <w:bCs w:val="0"/>
        </w:rPr>
      </w:pPr>
      <w:r w:rsidRPr="00A85AA2">
        <w:rPr>
          <w:rStyle w:val="Strong"/>
          <w:rFonts w:eastAsiaTheme="minorEastAsia"/>
          <w:b w:val="0"/>
          <w:bCs w:val="0"/>
        </w:rPr>
        <w:t>E(R)= 0.0966=9.66% estimated return</w:t>
      </w:r>
    </w:p>
    <w:p w14:paraId="73B5A153" w14:textId="63148E17" w:rsidR="008A5633" w:rsidRPr="008A5633" w:rsidRDefault="008A5633" w:rsidP="007D08CF">
      <w:pPr>
        <w:spacing w:line="480" w:lineRule="auto"/>
        <w:rPr>
          <w:rStyle w:val="Strong"/>
          <w:b w:val="0"/>
          <w:bCs w:val="0"/>
        </w:rPr>
      </w:pPr>
    </w:p>
    <w:p w14:paraId="0B7C94B8" w14:textId="51499F82" w:rsidR="00FE1150" w:rsidRPr="008A5633" w:rsidRDefault="007D08CF" w:rsidP="007D08CF">
      <w:pPr>
        <w:spacing w:line="480" w:lineRule="auto"/>
        <w:rPr>
          <w:rStyle w:val="Strong"/>
          <w:sz w:val="28"/>
          <w:szCs w:val="28"/>
          <w:u w:val="single"/>
        </w:rPr>
      </w:pPr>
      <w:r w:rsidRPr="008A5633">
        <w:rPr>
          <w:rStyle w:val="Strong"/>
          <w:sz w:val="28"/>
          <w:szCs w:val="28"/>
          <w:u w:val="single"/>
        </w:rPr>
        <w:t>Risk Management</w:t>
      </w:r>
    </w:p>
    <w:p w14:paraId="305CC696" w14:textId="097C54BB" w:rsidR="001A1EAE" w:rsidRDefault="00EB074D" w:rsidP="007D08CF">
      <w:pPr>
        <w:spacing w:line="480" w:lineRule="auto"/>
        <w:rPr>
          <w:rStyle w:val="Strong"/>
        </w:rPr>
      </w:pPr>
      <w:r>
        <w:rPr>
          <w:rStyle w:val="Strong"/>
        </w:rPr>
        <w:t xml:space="preserve">4.1 </w:t>
      </w:r>
      <w:r w:rsidR="00426995">
        <w:rPr>
          <w:rStyle w:val="Strong"/>
          <w:rFonts w:hint="eastAsia"/>
        </w:rPr>
        <w:t>Types</w:t>
      </w:r>
      <w:r w:rsidR="00426995">
        <w:rPr>
          <w:rStyle w:val="Strong"/>
        </w:rPr>
        <w:t xml:space="preserve"> of Risks</w:t>
      </w:r>
    </w:p>
    <w:p w14:paraId="7C0DB36B" w14:textId="776000A4" w:rsidR="001D44DA" w:rsidRDefault="001152DC" w:rsidP="001D44DA">
      <w:pPr>
        <w:spacing w:line="480" w:lineRule="auto"/>
        <w:ind w:firstLine="720"/>
        <w:rPr>
          <w:rStyle w:val="Strong"/>
          <w:rFonts w:ascii="SimSun" w:eastAsia="SimSun" w:hAnsi="SimSun" w:cs="SimSun"/>
          <w:b w:val="0"/>
          <w:bCs w:val="0"/>
        </w:rPr>
      </w:pPr>
      <w:r w:rsidRPr="00C479F8">
        <w:rPr>
          <w:rStyle w:val="Strong"/>
          <w:b w:val="0"/>
          <w:bCs w:val="0"/>
        </w:rPr>
        <w:t>There are varies risks in the WBSIX portfolio,</w:t>
      </w:r>
      <w:r w:rsidR="007D39FE">
        <w:rPr>
          <w:rStyle w:val="Strong"/>
          <w:b w:val="0"/>
          <w:bCs w:val="0"/>
        </w:rPr>
        <w:t xml:space="preserve"> </w:t>
      </w:r>
      <w:r w:rsidR="00F857B1">
        <w:rPr>
          <w:rStyle w:val="Strong"/>
          <w:b w:val="0"/>
          <w:bCs w:val="0"/>
        </w:rPr>
        <w:t>as shown in Exhibit 1, this fund is invested across many fields including medical, industries, information technology, consumer</w:t>
      </w:r>
      <w:r w:rsidR="006E50D6">
        <w:rPr>
          <w:rStyle w:val="Strong"/>
          <w:b w:val="0"/>
          <w:bCs w:val="0"/>
        </w:rPr>
        <w:t xml:space="preserve"> </w:t>
      </w:r>
      <w:r w:rsidR="00F857B1">
        <w:rPr>
          <w:rStyle w:val="Strong"/>
          <w:b w:val="0"/>
          <w:bCs w:val="0"/>
        </w:rPr>
        <w:t>discretionary, etc. One of the main risks faced by WBSIX, therefore, is the g</w:t>
      </w:r>
      <w:r w:rsidR="00F857B1" w:rsidRPr="00F857B1">
        <w:rPr>
          <w:rStyle w:val="Strong"/>
          <w:b w:val="0"/>
          <w:bCs w:val="0"/>
        </w:rPr>
        <w:t xml:space="preserve">eopolitical </w:t>
      </w:r>
      <w:r w:rsidR="00F857B1">
        <w:rPr>
          <w:rStyle w:val="Strong"/>
          <w:b w:val="0"/>
          <w:bCs w:val="0"/>
        </w:rPr>
        <w:t>r</w:t>
      </w:r>
      <w:r w:rsidR="00F857B1" w:rsidRPr="00F857B1">
        <w:rPr>
          <w:rStyle w:val="Strong"/>
          <w:b w:val="0"/>
          <w:bCs w:val="0"/>
        </w:rPr>
        <w:t>isk</w:t>
      </w:r>
      <w:r w:rsidR="00F857B1">
        <w:rPr>
          <w:rStyle w:val="Strong"/>
          <w:b w:val="0"/>
          <w:bCs w:val="0"/>
        </w:rPr>
        <w:t>.</w:t>
      </w:r>
      <w:r w:rsidR="00694690">
        <w:rPr>
          <w:rStyle w:val="Strong"/>
          <w:b w:val="0"/>
          <w:bCs w:val="0"/>
        </w:rPr>
        <w:t xml:space="preserve"> Any activities associated with war, terrorism, </w:t>
      </w:r>
      <w:r w:rsidR="00694690" w:rsidRPr="00694690">
        <w:rPr>
          <w:rStyle w:val="Strong"/>
          <w:b w:val="0"/>
          <w:bCs w:val="0"/>
        </w:rPr>
        <w:t xml:space="preserve">economic uncertainty, and related geopolitical events </w:t>
      </w:r>
      <w:r w:rsidR="00694690">
        <w:rPr>
          <w:rStyle w:val="Strong"/>
          <w:b w:val="0"/>
          <w:bCs w:val="0"/>
        </w:rPr>
        <w:t>will have a significant impact on the U</w:t>
      </w:r>
      <w:r w:rsidR="00694690" w:rsidRPr="00694690">
        <w:rPr>
          <w:rStyle w:val="Strong"/>
          <w:rFonts w:hint="eastAsia"/>
          <w:b w:val="0"/>
          <w:bCs w:val="0"/>
        </w:rPr>
        <w:t>.</w:t>
      </w:r>
      <w:r w:rsidR="00694690">
        <w:rPr>
          <w:rStyle w:val="Strong"/>
          <w:b w:val="0"/>
          <w:bCs w:val="0"/>
        </w:rPr>
        <w:t xml:space="preserve"> </w:t>
      </w:r>
      <w:r w:rsidR="00694690" w:rsidRPr="00694690">
        <w:rPr>
          <w:rStyle w:val="Strong"/>
          <w:b w:val="0"/>
          <w:bCs w:val="0"/>
        </w:rPr>
        <w:t>S.</w:t>
      </w:r>
      <w:r w:rsidR="00694690">
        <w:rPr>
          <w:rStyle w:val="Strong"/>
          <w:b w:val="0"/>
          <w:bCs w:val="0"/>
        </w:rPr>
        <w:t xml:space="preserve"> </w:t>
      </w:r>
      <w:r w:rsidR="00694690" w:rsidRPr="00694690">
        <w:rPr>
          <w:rStyle w:val="Strong"/>
          <w:b w:val="0"/>
          <w:bCs w:val="0"/>
        </w:rPr>
        <w:t>economics and markets</w:t>
      </w:r>
      <w:r w:rsidR="00694690">
        <w:rPr>
          <w:rStyle w:val="Strong"/>
          <w:b w:val="0"/>
          <w:bCs w:val="0"/>
        </w:rPr>
        <w:t>, which in turn, will create big volatilities for WBSIX.</w:t>
      </w:r>
      <w:r w:rsidR="001D44DA">
        <w:rPr>
          <w:rStyle w:val="Strong"/>
          <w:b w:val="0"/>
          <w:bCs w:val="0"/>
        </w:rPr>
        <w:t xml:space="preserve"> Other type of risks faced by WBSIX include: </w:t>
      </w:r>
      <w:r w:rsidR="001D44DA">
        <w:rPr>
          <w:rStyle w:val="Strong"/>
          <w:b w:val="0"/>
          <w:bCs w:val="0"/>
        </w:rPr>
        <w:br/>
      </w:r>
      <w:r w:rsidR="001D44DA">
        <w:rPr>
          <w:rStyle w:val="Strong"/>
          <w:rFonts w:hint="eastAsia"/>
          <w:b w:val="0"/>
          <w:bCs w:val="0"/>
        </w:rPr>
        <w:t>M</w:t>
      </w:r>
      <w:r w:rsidR="001D44DA">
        <w:rPr>
          <w:rStyle w:val="Strong"/>
          <w:b w:val="0"/>
          <w:bCs w:val="0"/>
        </w:rPr>
        <w:t>arket ris</w:t>
      </w:r>
      <w:r w:rsidR="00045921">
        <w:rPr>
          <w:rStyle w:val="Strong"/>
          <w:b w:val="0"/>
          <w:bCs w:val="0"/>
        </w:rPr>
        <w:t>k.</w:t>
      </w:r>
    </w:p>
    <w:p w14:paraId="0C665204" w14:textId="403F8AD4" w:rsidR="001D44DA" w:rsidRDefault="001D44DA" w:rsidP="001D44DA">
      <w:pPr>
        <w:spacing w:line="480" w:lineRule="auto"/>
        <w:rPr>
          <w:rStyle w:val="Strong"/>
          <w:b w:val="0"/>
          <w:bCs w:val="0"/>
        </w:rPr>
      </w:pPr>
      <w:r>
        <w:rPr>
          <w:rStyle w:val="Strong"/>
          <w:b w:val="0"/>
          <w:bCs w:val="0"/>
        </w:rPr>
        <w:t>Style risk: Different investment style may cause up and downs for the growth of WBSIX</w:t>
      </w:r>
      <w:r w:rsidR="00017B77">
        <w:rPr>
          <w:rStyle w:val="Strong"/>
          <w:b w:val="0"/>
          <w:bCs w:val="0"/>
        </w:rPr>
        <w:t>.</w:t>
      </w:r>
    </w:p>
    <w:p w14:paraId="4F9E9E34" w14:textId="52834C68" w:rsidR="001D44DA" w:rsidRDefault="001D44DA" w:rsidP="001D44DA">
      <w:pPr>
        <w:spacing w:line="480" w:lineRule="auto"/>
        <w:rPr>
          <w:rStyle w:val="Strong"/>
          <w:b w:val="0"/>
          <w:bCs w:val="0"/>
        </w:rPr>
      </w:pPr>
      <w:r>
        <w:rPr>
          <w:rStyle w:val="Strong"/>
          <w:b w:val="0"/>
          <w:bCs w:val="0"/>
        </w:rPr>
        <w:t xml:space="preserve">Smaller company risk: WBSIX has 91 holdings, some of them are smaller companies. Stock of smaller companies has bigger risks than bigger </w:t>
      </w:r>
      <w:r w:rsidR="00045921">
        <w:rPr>
          <w:rStyle w:val="Strong"/>
          <w:b w:val="0"/>
          <w:bCs w:val="0"/>
        </w:rPr>
        <w:t>companies.</w:t>
      </w:r>
    </w:p>
    <w:p w14:paraId="7775B6E5" w14:textId="11789572" w:rsidR="00045921" w:rsidRPr="00984129" w:rsidRDefault="001D44DA" w:rsidP="001D44DA">
      <w:pPr>
        <w:spacing w:line="480" w:lineRule="auto"/>
        <w:rPr>
          <w:rStyle w:val="Strong"/>
          <w:b w:val="0"/>
          <w:bCs w:val="0"/>
        </w:rPr>
      </w:pPr>
      <w:r>
        <w:rPr>
          <w:rStyle w:val="Strong"/>
          <w:b w:val="0"/>
          <w:bCs w:val="0"/>
        </w:rPr>
        <w:t>Liquidity risk</w:t>
      </w:r>
      <w:r w:rsidR="00045921">
        <w:rPr>
          <w:rStyle w:val="Strong"/>
          <w:b w:val="0"/>
          <w:bCs w:val="0"/>
        </w:rPr>
        <w:t>: WBSIX face liquidity since it is traded less frequent relatively.</w:t>
      </w:r>
      <w:r>
        <w:rPr>
          <w:rStyle w:val="Strong"/>
          <w:b w:val="0"/>
          <w:bCs w:val="0"/>
        </w:rPr>
        <w:br/>
        <w:t>Focus risk</w:t>
      </w:r>
      <w:r w:rsidR="00045921">
        <w:rPr>
          <w:rStyle w:val="Strong"/>
          <w:b w:val="0"/>
          <w:bCs w:val="0"/>
        </w:rPr>
        <w:t xml:space="preserve">: Top 10 holdings account for 21% percent of WBSIX’s assets, so it </w:t>
      </w:r>
      <w:proofErr w:type="gramStart"/>
      <w:r w:rsidR="00045921">
        <w:rPr>
          <w:rStyle w:val="Strong"/>
          <w:b w:val="0"/>
          <w:bCs w:val="0"/>
        </w:rPr>
        <w:t>face</w:t>
      </w:r>
      <w:proofErr w:type="gramEnd"/>
      <w:r w:rsidR="00045921">
        <w:rPr>
          <w:rStyle w:val="Strong"/>
          <w:b w:val="0"/>
          <w:bCs w:val="0"/>
        </w:rPr>
        <w:t xml:space="preserve"> a risk of concentrat</w:t>
      </w:r>
      <w:r w:rsidR="00EB3F06">
        <w:rPr>
          <w:rStyle w:val="Strong"/>
          <w:b w:val="0"/>
          <w:bCs w:val="0"/>
        </w:rPr>
        <w:t>ing</w:t>
      </w:r>
      <w:r w:rsidR="00045921">
        <w:rPr>
          <w:rStyle w:val="Strong"/>
          <w:b w:val="0"/>
          <w:bCs w:val="0"/>
        </w:rPr>
        <w:t xml:space="preserve"> too much on a few industries.</w:t>
      </w:r>
      <w:r w:rsidR="00786FA8">
        <w:rPr>
          <w:rStyle w:val="Strong"/>
          <w:b w:val="0"/>
          <w:bCs w:val="0"/>
        </w:rPr>
        <w:t xml:space="preserve"> For example, if there is a big turbulence in the health market, the return of WBSIX will be greatly affected.</w:t>
      </w:r>
    </w:p>
    <w:p w14:paraId="410BC853" w14:textId="77777777" w:rsidR="008A5633" w:rsidRDefault="008A5633" w:rsidP="007D08CF">
      <w:pPr>
        <w:spacing w:line="480" w:lineRule="auto"/>
        <w:rPr>
          <w:rStyle w:val="Strong"/>
        </w:rPr>
      </w:pPr>
    </w:p>
    <w:p w14:paraId="332E7748" w14:textId="77777777" w:rsidR="008A5633" w:rsidRDefault="008A5633" w:rsidP="007D08CF">
      <w:pPr>
        <w:spacing w:line="480" w:lineRule="auto"/>
        <w:rPr>
          <w:rStyle w:val="Strong"/>
        </w:rPr>
      </w:pPr>
    </w:p>
    <w:p w14:paraId="583E8ED5" w14:textId="7C10FFB3" w:rsidR="00426995" w:rsidRDefault="00426995" w:rsidP="007D08CF">
      <w:pPr>
        <w:spacing w:line="480" w:lineRule="auto"/>
        <w:rPr>
          <w:rStyle w:val="Strong"/>
        </w:rPr>
      </w:pPr>
      <w:r>
        <w:rPr>
          <w:rStyle w:val="Strong"/>
        </w:rPr>
        <w:t>4.2 Standard Deviation</w:t>
      </w:r>
    </w:p>
    <w:p w14:paraId="4666B0AE" w14:textId="6AC7815F" w:rsidR="00665D8E" w:rsidRDefault="007D39FE" w:rsidP="00E62722">
      <w:pPr>
        <w:spacing w:line="480" w:lineRule="auto"/>
        <w:ind w:firstLine="720"/>
        <w:rPr>
          <w:rStyle w:val="Strong"/>
          <w:b w:val="0"/>
          <w:bCs w:val="0"/>
        </w:rPr>
      </w:pPr>
      <w:r w:rsidRPr="007D39FE">
        <w:rPr>
          <w:rStyle w:val="Strong"/>
          <w:b w:val="0"/>
          <w:bCs w:val="0"/>
        </w:rPr>
        <w:t xml:space="preserve">We collected the data associated with WBSIX from the </w:t>
      </w:r>
      <w:r w:rsidR="00177477">
        <w:rPr>
          <w:rStyle w:val="Strong"/>
          <w:rFonts w:hint="eastAsia"/>
          <w:b w:val="0"/>
          <w:bCs w:val="0"/>
        </w:rPr>
        <w:t>Nas</w:t>
      </w:r>
      <w:r w:rsidR="00177477">
        <w:rPr>
          <w:rStyle w:val="Strong"/>
          <w:b w:val="0"/>
          <w:bCs w:val="0"/>
        </w:rPr>
        <w:t>daq w</w:t>
      </w:r>
      <w:r w:rsidRPr="007D39FE">
        <w:rPr>
          <w:rStyle w:val="Strong"/>
          <w:b w:val="0"/>
          <w:bCs w:val="0"/>
        </w:rPr>
        <w:t>ebsite</w:t>
      </w:r>
      <w:r w:rsidR="00177477">
        <w:rPr>
          <w:rStyle w:val="Strong"/>
          <w:b w:val="0"/>
          <w:bCs w:val="0"/>
        </w:rPr>
        <w:t xml:space="preserve"> (2022)</w:t>
      </w:r>
      <w:r w:rsidR="00CD1636">
        <w:rPr>
          <w:rStyle w:val="Strong"/>
          <w:b w:val="0"/>
          <w:bCs w:val="0"/>
        </w:rPr>
        <w:t>. The dataset ranges from 29</w:t>
      </w:r>
      <w:r w:rsidR="00CD1636" w:rsidRPr="00CD1636">
        <w:rPr>
          <w:rStyle w:val="Strong"/>
          <w:b w:val="0"/>
          <w:bCs w:val="0"/>
          <w:vertAlign w:val="superscript"/>
        </w:rPr>
        <w:t>th</w:t>
      </w:r>
      <w:r w:rsidR="00CD1636">
        <w:rPr>
          <w:rStyle w:val="Strong"/>
          <w:b w:val="0"/>
          <w:bCs w:val="0"/>
        </w:rPr>
        <w:t xml:space="preserve"> </w:t>
      </w:r>
      <w:proofErr w:type="gramStart"/>
      <w:r w:rsidR="00CD1636">
        <w:rPr>
          <w:rStyle w:val="Strong"/>
          <w:b w:val="0"/>
          <w:bCs w:val="0"/>
        </w:rPr>
        <w:t>Oct</w:t>
      </w:r>
      <w:r w:rsidR="00CF1BEB">
        <w:rPr>
          <w:rStyle w:val="Strong"/>
          <w:b w:val="0"/>
          <w:bCs w:val="0"/>
        </w:rPr>
        <w:t>ober</w:t>
      </w:r>
      <w:r w:rsidR="00CD1636">
        <w:rPr>
          <w:rStyle w:val="Strong"/>
          <w:b w:val="0"/>
          <w:bCs w:val="0"/>
        </w:rPr>
        <w:t>,</w:t>
      </w:r>
      <w:proofErr w:type="gramEnd"/>
      <w:r w:rsidR="00CD1636">
        <w:rPr>
          <w:rStyle w:val="Strong"/>
          <w:b w:val="0"/>
          <w:bCs w:val="0"/>
        </w:rPr>
        <w:t xml:space="preserve"> 2012 to </w:t>
      </w:r>
      <w:r w:rsidR="00AC3965">
        <w:rPr>
          <w:rStyle w:val="Strong"/>
          <w:b w:val="0"/>
          <w:bCs w:val="0"/>
        </w:rPr>
        <w:t>31</w:t>
      </w:r>
      <w:r w:rsidR="00AC3965">
        <w:rPr>
          <w:rStyle w:val="Strong"/>
          <w:rFonts w:hint="eastAsia"/>
          <w:b w:val="0"/>
          <w:bCs w:val="0"/>
          <w:vertAlign w:val="superscript"/>
        </w:rPr>
        <w:t>st</w:t>
      </w:r>
      <w:r w:rsidR="00CD1636">
        <w:rPr>
          <w:rStyle w:val="Strong"/>
          <w:b w:val="0"/>
          <w:bCs w:val="0"/>
        </w:rPr>
        <w:t xml:space="preserve"> Oct</w:t>
      </w:r>
      <w:r w:rsidR="00CF1BEB">
        <w:rPr>
          <w:rStyle w:val="Strong"/>
          <w:b w:val="0"/>
          <w:bCs w:val="0"/>
        </w:rPr>
        <w:t>ober</w:t>
      </w:r>
      <w:r w:rsidR="00CD1636">
        <w:rPr>
          <w:rStyle w:val="Strong"/>
          <w:b w:val="0"/>
          <w:bCs w:val="0"/>
        </w:rPr>
        <w:t>, 2022, so we have a total of 10 years of historical WBSIX data. These data included the open, close, high, low, adjusted close values on each trading days.</w:t>
      </w:r>
      <w:r w:rsidR="007B7E8B">
        <w:rPr>
          <w:rStyle w:val="Strong"/>
          <w:b w:val="0"/>
          <w:bCs w:val="0"/>
        </w:rPr>
        <w:t xml:space="preserve"> We </w:t>
      </w:r>
      <w:r w:rsidR="00EF594F">
        <w:rPr>
          <w:rStyle w:val="Strong"/>
          <w:b w:val="0"/>
          <w:bCs w:val="0"/>
        </w:rPr>
        <w:t>used</w:t>
      </w:r>
      <w:r w:rsidR="007B7E8B">
        <w:rPr>
          <w:rStyle w:val="Strong"/>
          <w:b w:val="0"/>
          <w:bCs w:val="0"/>
        </w:rPr>
        <w:t xml:space="preserve"> the adjusted close value to calculate its </w:t>
      </w:r>
      <w:r w:rsidR="009F4070">
        <w:rPr>
          <w:rStyle w:val="Strong"/>
          <w:rFonts w:hint="eastAsia"/>
          <w:b w:val="0"/>
          <w:bCs w:val="0"/>
        </w:rPr>
        <w:t>week</w:t>
      </w:r>
      <w:r w:rsidR="009F4070">
        <w:rPr>
          <w:rStyle w:val="Strong"/>
          <w:b w:val="0"/>
          <w:bCs w:val="0"/>
        </w:rPr>
        <w:t xml:space="preserve">ly </w:t>
      </w:r>
      <w:r w:rsidR="007B7E8B">
        <w:rPr>
          <w:rStyle w:val="Strong"/>
          <w:b w:val="0"/>
          <w:bCs w:val="0"/>
        </w:rPr>
        <w:t xml:space="preserve">returns </w:t>
      </w:r>
      <w:r w:rsidR="0006795E">
        <w:rPr>
          <w:rStyle w:val="Strong"/>
          <w:b w:val="0"/>
          <w:bCs w:val="0"/>
        </w:rPr>
        <w:t>and then</w:t>
      </w:r>
      <w:r w:rsidR="00665D8E">
        <w:rPr>
          <w:rStyle w:val="Strong"/>
          <w:b w:val="0"/>
          <w:bCs w:val="0"/>
        </w:rPr>
        <w:t xml:space="preserve"> use formula</w:t>
      </w:r>
      <w:r w:rsidR="00913DEC">
        <w:rPr>
          <w:rStyle w:val="Strong"/>
          <w:b w:val="0"/>
          <w:bCs w:val="0"/>
        </w:rPr>
        <w:t xml:space="preserve"> to calculate the annual return:</w:t>
      </w:r>
    </w:p>
    <w:p w14:paraId="4F1A6CDC" w14:textId="7B41DAF3" w:rsidR="00665D8E" w:rsidRPr="00C35252" w:rsidRDefault="00080125" w:rsidP="007D08CF">
      <w:pPr>
        <w:spacing w:line="480" w:lineRule="auto"/>
        <w:rPr>
          <w:rStyle w:val="Strong"/>
          <w:b w:val="0"/>
          <w:bCs w:val="0"/>
        </w:rPr>
      </w:pPr>
      <m:oMathPara>
        <m:oMath>
          <m:r>
            <w:rPr>
              <w:rStyle w:val="Strong"/>
              <w:rFonts w:ascii="Cambria Math" w:hAnsi="Cambria Math"/>
            </w:rPr>
            <m:t>Annual return=</m:t>
          </m:r>
          <m:sSup>
            <m:sSupPr>
              <m:ctrlPr>
                <w:rPr>
                  <w:rStyle w:val="Strong"/>
                  <w:rFonts w:ascii="Cambria Math" w:hAnsi="Cambria Math"/>
                  <w:b w:val="0"/>
                  <w:bCs w:val="0"/>
                  <w:i/>
                </w:rPr>
              </m:ctrlPr>
            </m:sSupPr>
            <m:e>
              <m:d>
                <m:dPr>
                  <m:ctrlPr>
                    <w:rPr>
                      <w:rStyle w:val="Strong"/>
                      <w:rFonts w:ascii="Cambria Math" w:hAnsi="Cambria Math"/>
                      <w:b w:val="0"/>
                      <w:bCs w:val="0"/>
                      <w:i/>
                    </w:rPr>
                  </m:ctrlPr>
                </m:dPr>
                <m:e>
                  <m:r>
                    <w:rPr>
                      <w:rStyle w:val="Strong"/>
                      <w:rFonts w:ascii="Cambria Math" w:hAnsi="Cambria Math" w:hint="eastAsia"/>
                    </w:rPr>
                    <m:t>Weekly</m:t>
                  </m:r>
                  <m:r>
                    <w:rPr>
                      <w:rStyle w:val="Strong"/>
                      <w:rFonts w:ascii="Cambria Math" w:hAnsi="Cambria Math"/>
                    </w:rPr>
                    <m:t xml:space="preserve"> return+1</m:t>
                  </m:r>
                </m:e>
              </m:d>
            </m:e>
            <m:sup>
              <m:r>
                <w:rPr>
                  <w:rStyle w:val="Strong"/>
                  <w:rFonts w:ascii="Cambria Math" w:hAnsi="Cambria Math"/>
                </w:rPr>
                <m:t>365</m:t>
              </m:r>
            </m:sup>
          </m:sSup>
          <m:r>
            <w:rPr>
              <w:rStyle w:val="Strong"/>
              <w:rFonts w:ascii="Cambria Math" w:hAnsi="Cambria Math"/>
            </w:rPr>
            <m:t>-1</m:t>
          </m:r>
        </m:oMath>
      </m:oMathPara>
    </w:p>
    <w:p w14:paraId="6AC23E09" w14:textId="1C6976FD" w:rsidR="00C35252" w:rsidRDefault="00C35252" w:rsidP="004D4D16">
      <w:pPr>
        <w:spacing w:line="480" w:lineRule="auto"/>
        <w:ind w:firstLine="720"/>
        <w:rPr>
          <w:rStyle w:val="Strong"/>
          <w:b w:val="0"/>
          <w:bCs w:val="0"/>
        </w:rPr>
      </w:pPr>
      <w:r>
        <w:rPr>
          <w:rStyle w:val="Strong"/>
          <w:b w:val="0"/>
          <w:bCs w:val="0"/>
        </w:rPr>
        <w:t>After obtained the 10 annual return records, we used</w:t>
      </w:r>
      <w:r w:rsidR="002942B6">
        <w:rPr>
          <w:rStyle w:val="Strong"/>
          <w:b w:val="0"/>
          <w:bCs w:val="0"/>
        </w:rPr>
        <w:t xml:space="preserve"> the following formula to calculate the </w:t>
      </w:r>
    </w:p>
    <w:p w14:paraId="2E38D075" w14:textId="54A1DEB6" w:rsidR="002942B6" w:rsidRDefault="002942B6" w:rsidP="007D08CF">
      <w:pPr>
        <w:spacing w:line="480" w:lineRule="auto"/>
        <w:rPr>
          <w:rStyle w:val="Strong"/>
          <w:b w:val="0"/>
          <w:bCs w:val="0"/>
        </w:rPr>
      </w:pPr>
      <w:r>
        <w:rPr>
          <w:rStyle w:val="Strong"/>
          <w:b w:val="0"/>
          <w:bCs w:val="0"/>
        </w:rPr>
        <w:t>3-year, 5-</w:t>
      </w:r>
      <w:proofErr w:type="gramStart"/>
      <w:r>
        <w:rPr>
          <w:rStyle w:val="Strong"/>
          <w:b w:val="0"/>
          <w:bCs w:val="0"/>
        </w:rPr>
        <w:t>year</w:t>
      </w:r>
      <w:proofErr w:type="gramEnd"/>
      <w:r>
        <w:rPr>
          <w:rStyle w:val="Strong"/>
          <w:b w:val="0"/>
          <w:bCs w:val="0"/>
        </w:rPr>
        <w:t xml:space="preserve"> and 10-year of standard deviation</w:t>
      </w:r>
    </w:p>
    <w:p w14:paraId="2A498601" w14:textId="7CFCC076" w:rsidR="007D39FE" w:rsidRDefault="00C35252" w:rsidP="00984129">
      <w:pPr>
        <w:spacing w:line="480" w:lineRule="auto"/>
        <w:rPr>
          <w:rStyle w:val="Strong"/>
          <w:b w:val="0"/>
          <w:bCs w:val="0"/>
        </w:rPr>
      </w:pPr>
      <m:oMathPara>
        <m:oMath>
          <m:r>
            <w:rPr>
              <w:rStyle w:val="Strong"/>
              <w:rFonts w:ascii="Cambria Math" w:hAnsi="Cambria Math"/>
            </w:rPr>
            <m:t xml:space="preserve">σ= </m:t>
          </m:r>
          <m:rad>
            <m:radPr>
              <m:degHide m:val="1"/>
              <m:ctrlPr>
                <w:rPr>
                  <w:rStyle w:val="Strong"/>
                  <w:rFonts w:ascii="Cambria Math" w:hAnsi="Cambria Math"/>
                  <w:b w:val="0"/>
                  <w:bCs w:val="0"/>
                  <w:i/>
                </w:rPr>
              </m:ctrlPr>
            </m:radPr>
            <m:deg/>
            <m:e>
              <m:f>
                <m:fPr>
                  <m:ctrlPr>
                    <w:rPr>
                      <w:rStyle w:val="Strong"/>
                      <w:rFonts w:ascii="Cambria Math" w:hAnsi="Cambria Math"/>
                      <w:b w:val="0"/>
                      <w:bCs w:val="0"/>
                      <w:i/>
                    </w:rPr>
                  </m:ctrlPr>
                </m:fPr>
                <m:num>
                  <m:nary>
                    <m:naryPr>
                      <m:chr m:val="∑"/>
                      <m:limLoc m:val="undOvr"/>
                      <m:subHide m:val="1"/>
                      <m:supHide m:val="1"/>
                      <m:ctrlPr>
                        <w:rPr>
                          <w:rStyle w:val="Strong"/>
                          <w:rFonts w:ascii="Cambria Math" w:hAnsi="Cambria Math"/>
                          <w:b w:val="0"/>
                          <w:bCs w:val="0"/>
                          <w:i/>
                        </w:rPr>
                      </m:ctrlPr>
                    </m:naryPr>
                    <m:sub/>
                    <m:sup/>
                    <m:e>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r>
                        <w:rPr>
                          <w:rStyle w:val="Strong"/>
                          <w:rFonts w:ascii="Cambria Math" w:hAnsi="Cambria Math"/>
                        </w:rPr>
                        <m:t>-u)^2</m:t>
                      </m:r>
                    </m:e>
                  </m:nary>
                </m:num>
                <m:den>
                  <m:r>
                    <w:rPr>
                      <w:rStyle w:val="Strong"/>
                      <w:rFonts w:ascii="Cambria Math" w:hAnsi="Cambria Math"/>
                    </w:rPr>
                    <m:t>N</m:t>
                  </m:r>
                </m:den>
              </m:f>
            </m:e>
          </m:rad>
          <m:r>
            <w:rPr>
              <w:rStyle w:val="Strong"/>
              <w:rFonts w:ascii="Cambria Math" w:hAnsi="Cambria Math"/>
            </w:rPr>
            <m:t xml:space="preserve">  </m:t>
          </m:r>
        </m:oMath>
      </m:oMathPara>
    </w:p>
    <w:tbl>
      <w:tblPr>
        <w:tblStyle w:val="PlainTable1"/>
        <w:tblW w:w="0" w:type="auto"/>
        <w:jc w:val="center"/>
        <w:tblLook w:val="04A0" w:firstRow="1" w:lastRow="0" w:firstColumn="1" w:lastColumn="0" w:noHBand="0" w:noVBand="1"/>
      </w:tblPr>
      <w:tblGrid>
        <w:gridCol w:w="3955"/>
        <w:gridCol w:w="2278"/>
      </w:tblGrid>
      <w:tr w:rsidR="003F3AE6" w14:paraId="488A848F" w14:textId="77777777" w:rsidTr="000F54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4D7A21DE" w14:textId="5F4A85EE" w:rsidR="003F3AE6" w:rsidRDefault="003F3AE6" w:rsidP="000F5459">
            <w:pPr>
              <w:spacing w:line="480" w:lineRule="auto"/>
              <w:rPr>
                <w:rStyle w:val="Strong"/>
                <w:b/>
                <w:bCs/>
              </w:rPr>
            </w:pPr>
            <w:r>
              <w:rPr>
                <w:rStyle w:val="Strong"/>
                <w:b/>
                <w:bCs/>
              </w:rPr>
              <w:t>Time Period</w:t>
            </w:r>
          </w:p>
        </w:tc>
        <w:tc>
          <w:tcPr>
            <w:tcW w:w="2278" w:type="dxa"/>
          </w:tcPr>
          <w:p w14:paraId="61722D9E" w14:textId="1D650F45" w:rsidR="003F3AE6" w:rsidRDefault="003F3AE6" w:rsidP="000F5459">
            <w:pPr>
              <w:spacing w:line="480" w:lineRule="auto"/>
              <w:cnfStyle w:val="100000000000" w:firstRow="1" w:lastRow="0" w:firstColumn="0" w:lastColumn="0" w:oddVBand="0" w:evenVBand="0" w:oddHBand="0" w:evenHBand="0" w:firstRowFirstColumn="0" w:firstRowLastColumn="0" w:lastRowFirstColumn="0" w:lastRowLastColumn="0"/>
              <w:rPr>
                <w:rStyle w:val="Strong"/>
                <w:b/>
                <w:bCs/>
              </w:rPr>
            </w:pPr>
            <w:r>
              <w:rPr>
                <w:rStyle w:val="Strong"/>
                <w:b/>
                <w:bCs/>
              </w:rPr>
              <w:t xml:space="preserve"> SD</w:t>
            </w:r>
          </w:p>
        </w:tc>
      </w:tr>
      <w:tr w:rsidR="005D3F87" w14:paraId="2B5A0898" w14:textId="77777777" w:rsidTr="005D2B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4DBA506B" w14:textId="690AA9A4" w:rsidR="005D3F87" w:rsidRDefault="005D3F87" w:rsidP="005D3F87">
            <w:pPr>
              <w:spacing w:line="480" w:lineRule="auto"/>
              <w:rPr>
                <w:rStyle w:val="Strong"/>
                <w:b/>
                <w:bCs/>
              </w:rPr>
            </w:pPr>
            <w:r>
              <w:rPr>
                <w:rStyle w:val="Strong"/>
                <w:b/>
                <w:bCs/>
              </w:rPr>
              <w:t>3 years (10/29/2019-10/28/2022)</w:t>
            </w:r>
          </w:p>
        </w:tc>
        <w:tc>
          <w:tcPr>
            <w:tcW w:w="2278" w:type="dxa"/>
            <w:vAlign w:val="bottom"/>
          </w:tcPr>
          <w:p w14:paraId="7FAC0404" w14:textId="5F6B464B" w:rsidR="005D3F87" w:rsidRPr="00887501" w:rsidRDefault="005D3F87" w:rsidP="005D3F87">
            <w:pPr>
              <w:spacing w:line="480" w:lineRule="auto"/>
              <w:cnfStyle w:val="000000100000" w:firstRow="0" w:lastRow="0" w:firstColumn="0" w:lastColumn="0" w:oddVBand="0" w:evenVBand="0" w:oddHBand="1" w:evenHBand="0" w:firstRowFirstColumn="0" w:firstRowLastColumn="0" w:lastRowFirstColumn="0" w:lastRowLastColumn="0"/>
              <w:rPr>
                <w:rStyle w:val="Strong"/>
                <w:rFonts w:ascii="Calibri" w:hAnsi="Calibri" w:cs="Calibri"/>
                <w:b w:val="0"/>
                <w:bCs w:val="0"/>
                <w:color w:val="000000"/>
              </w:rPr>
            </w:pPr>
            <w:r>
              <w:rPr>
                <w:rFonts w:ascii="Calibri" w:hAnsi="Calibri" w:cs="Calibri"/>
                <w:color w:val="000000"/>
                <w:sz w:val="22"/>
                <w:szCs w:val="22"/>
              </w:rPr>
              <w:t>40.649%</w:t>
            </w:r>
          </w:p>
        </w:tc>
      </w:tr>
      <w:tr w:rsidR="005D3F87" w14:paraId="0FB9D712" w14:textId="77777777" w:rsidTr="005D2BEB">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380867DE" w14:textId="0A413E5A" w:rsidR="005D3F87" w:rsidRDefault="005D3F87" w:rsidP="005D3F87">
            <w:pPr>
              <w:spacing w:line="480" w:lineRule="auto"/>
              <w:rPr>
                <w:rStyle w:val="Strong"/>
                <w:b/>
                <w:bCs/>
              </w:rPr>
            </w:pPr>
            <w:r>
              <w:rPr>
                <w:rStyle w:val="Strong"/>
                <w:b/>
                <w:bCs/>
              </w:rPr>
              <w:t>5 years (10/30/2017-10/28/2022)</w:t>
            </w:r>
          </w:p>
        </w:tc>
        <w:tc>
          <w:tcPr>
            <w:tcW w:w="2278" w:type="dxa"/>
            <w:vAlign w:val="bottom"/>
          </w:tcPr>
          <w:p w14:paraId="35856F6A" w14:textId="625E1DE8" w:rsidR="005D3F87" w:rsidRDefault="005D3F87" w:rsidP="005D3F87">
            <w:pPr>
              <w:spacing w:line="480" w:lineRule="auto"/>
              <w:cnfStyle w:val="000000000000" w:firstRow="0" w:lastRow="0" w:firstColumn="0" w:lastColumn="0" w:oddVBand="0" w:evenVBand="0" w:oddHBand="0" w:evenHBand="0" w:firstRowFirstColumn="0" w:firstRowLastColumn="0" w:lastRowFirstColumn="0" w:lastRowLastColumn="0"/>
              <w:rPr>
                <w:rStyle w:val="Strong"/>
                <w:b w:val="0"/>
                <w:bCs w:val="0"/>
              </w:rPr>
            </w:pPr>
            <w:r>
              <w:rPr>
                <w:rFonts w:ascii="Calibri" w:hAnsi="Calibri" w:cs="Calibri"/>
                <w:color w:val="000000"/>
                <w:sz w:val="22"/>
                <w:szCs w:val="22"/>
              </w:rPr>
              <w:t>29.228%</w:t>
            </w:r>
          </w:p>
        </w:tc>
      </w:tr>
      <w:tr w:rsidR="005D3F87" w14:paraId="1F4ECFB4" w14:textId="77777777" w:rsidTr="005D2B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677C8C7A" w14:textId="50AFA66A" w:rsidR="005D3F87" w:rsidRDefault="005D3F87" w:rsidP="005D3F87">
            <w:pPr>
              <w:spacing w:line="480" w:lineRule="auto"/>
              <w:rPr>
                <w:rStyle w:val="Strong"/>
                <w:b/>
                <w:bCs/>
              </w:rPr>
            </w:pPr>
            <w:r>
              <w:rPr>
                <w:rStyle w:val="Strong"/>
                <w:b/>
                <w:bCs/>
              </w:rPr>
              <w:t>10 years (10/29/2012-10/28/2022)</w:t>
            </w:r>
          </w:p>
        </w:tc>
        <w:tc>
          <w:tcPr>
            <w:tcW w:w="2278" w:type="dxa"/>
            <w:vAlign w:val="bottom"/>
          </w:tcPr>
          <w:p w14:paraId="30261457" w14:textId="69F12178" w:rsidR="005D3F87" w:rsidRDefault="005D3F87" w:rsidP="005D3F87">
            <w:pPr>
              <w:spacing w:line="480" w:lineRule="auto"/>
              <w:cnfStyle w:val="000000100000" w:firstRow="0" w:lastRow="0" w:firstColumn="0" w:lastColumn="0" w:oddVBand="0" w:evenVBand="0" w:oddHBand="1" w:evenHBand="0" w:firstRowFirstColumn="0" w:firstRowLastColumn="0" w:lastRowFirstColumn="0" w:lastRowLastColumn="0"/>
              <w:rPr>
                <w:rStyle w:val="Strong"/>
                <w:b w:val="0"/>
                <w:bCs w:val="0"/>
              </w:rPr>
            </w:pPr>
            <w:r>
              <w:rPr>
                <w:rFonts w:ascii="Calibri" w:hAnsi="Calibri" w:cs="Calibri"/>
                <w:color w:val="000000"/>
                <w:sz w:val="22"/>
                <w:szCs w:val="22"/>
              </w:rPr>
              <w:t>25.786%</w:t>
            </w:r>
          </w:p>
        </w:tc>
      </w:tr>
    </w:tbl>
    <w:p w14:paraId="28176F5F" w14:textId="2618665B" w:rsidR="00984129" w:rsidRDefault="00984129" w:rsidP="00984129">
      <w:pPr>
        <w:spacing w:before="240" w:after="240" w:line="480" w:lineRule="auto"/>
        <w:ind w:firstLine="720"/>
        <w:jc w:val="center"/>
        <w:rPr>
          <w:rStyle w:val="Strong"/>
          <w:b w:val="0"/>
          <w:bCs w:val="0"/>
        </w:rPr>
      </w:pPr>
      <w:r>
        <w:rPr>
          <w:rStyle w:val="Strong"/>
          <w:b w:val="0"/>
          <w:bCs w:val="0"/>
        </w:rPr>
        <w:t>Table 2: Standard Deviation of WBSIX</w:t>
      </w:r>
    </w:p>
    <w:p w14:paraId="2B39A669" w14:textId="32CFF70F" w:rsidR="00E455D9" w:rsidRDefault="00B96933" w:rsidP="004D4D16">
      <w:pPr>
        <w:spacing w:before="240" w:after="240" w:line="480" w:lineRule="auto"/>
        <w:ind w:firstLine="720"/>
        <w:rPr>
          <w:rStyle w:val="Strong"/>
          <w:b w:val="0"/>
          <w:bCs w:val="0"/>
        </w:rPr>
      </w:pPr>
      <w:r>
        <w:rPr>
          <w:rStyle w:val="Strong"/>
          <w:b w:val="0"/>
          <w:bCs w:val="0"/>
        </w:rPr>
        <w:t xml:space="preserve">Table 2 shows the standard deviation of WBSIX annual return for different time duration. </w:t>
      </w:r>
      <w:r w:rsidR="00E455D9">
        <w:rPr>
          <w:rStyle w:val="Strong"/>
          <w:b w:val="0"/>
          <w:bCs w:val="0"/>
        </w:rPr>
        <w:t>The reported 10</w:t>
      </w:r>
      <w:r w:rsidR="00054D4B">
        <w:rPr>
          <w:rStyle w:val="Strong"/>
          <w:b w:val="0"/>
          <w:bCs w:val="0"/>
        </w:rPr>
        <w:t>-</w:t>
      </w:r>
      <w:r w:rsidR="00E455D9">
        <w:rPr>
          <w:rStyle w:val="Strong"/>
          <w:b w:val="0"/>
          <w:bCs w:val="0"/>
        </w:rPr>
        <w:t xml:space="preserve">year standard deviation on the William Blair </w:t>
      </w:r>
      <w:r w:rsidR="001F5865">
        <w:rPr>
          <w:rStyle w:val="Strong"/>
          <w:b w:val="0"/>
          <w:bCs w:val="0"/>
        </w:rPr>
        <w:t xml:space="preserve">website </w:t>
      </w:r>
      <w:r w:rsidR="00E455D9">
        <w:rPr>
          <w:rStyle w:val="Strong"/>
          <w:b w:val="0"/>
          <w:bCs w:val="0"/>
        </w:rPr>
        <w:t xml:space="preserve">is less than 20%, which is much less than </w:t>
      </w:r>
      <w:r w:rsidR="00936F90">
        <w:rPr>
          <w:rStyle w:val="Strong"/>
          <w:b w:val="0"/>
          <w:bCs w:val="0"/>
        </w:rPr>
        <w:t xml:space="preserve">our </w:t>
      </w:r>
      <w:r w:rsidR="009E093A">
        <w:rPr>
          <w:rStyle w:val="Strong"/>
          <w:b w:val="0"/>
          <w:bCs w:val="0"/>
        </w:rPr>
        <w:t>10-year</w:t>
      </w:r>
      <w:r w:rsidR="00936F90">
        <w:rPr>
          <w:rStyle w:val="Strong"/>
          <w:b w:val="0"/>
          <w:bCs w:val="0"/>
        </w:rPr>
        <w:t xml:space="preserve"> standard deviation value of </w:t>
      </w:r>
      <w:r w:rsidR="005278A5">
        <w:rPr>
          <w:rStyle w:val="Strong"/>
          <w:b w:val="0"/>
          <w:bCs w:val="0"/>
        </w:rPr>
        <w:t>25.786</w:t>
      </w:r>
      <w:r w:rsidR="00E455D9">
        <w:rPr>
          <w:rStyle w:val="Strong"/>
          <w:b w:val="0"/>
          <w:bCs w:val="0"/>
        </w:rPr>
        <w:t xml:space="preserve">%. </w:t>
      </w:r>
      <w:r w:rsidR="00881E16">
        <w:rPr>
          <w:rStyle w:val="Strong"/>
          <w:b w:val="0"/>
          <w:bCs w:val="0"/>
        </w:rPr>
        <w:t xml:space="preserve"> We know that higher standard deviation is associated with high risk of the fund, so o</w:t>
      </w:r>
      <w:r w:rsidR="00E455D9">
        <w:rPr>
          <w:rStyle w:val="Strong"/>
          <w:b w:val="0"/>
          <w:bCs w:val="0"/>
        </w:rPr>
        <w:t xml:space="preserve">ne possible reason </w:t>
      </w:r>
      <w:r w:rsidR="00881E16">
        <w:rPr>
          <w:rStyle w:val="Strong"/>
          <w:b w:val="0"/>
          <w:bCs w:val="0"/>
        </w:rPr>
        <w:t xml:space="preserve">for the difference </w:t>
      </w:r>
      <w:r w:rsidR="00881E16">
        <w:rPr>
          <w:rStyle w:val="Strong"/>
          <w:b w:val="0"/>
          <w:bCs w:val="0"/>
        </w:rPr>
        <w:lastRenderedPageBreak/>
        <w:t xml:space="preserve">between the reported 10-year standard deviation and our </w:t>
      </w:r>
      <w:r w:rsidR="009E093A">
        <w:rPr>
          <w:rStyle w:val="Strong"/>
          <w:b w:val="0"/>
          <w:bCs w:val="0"/>
        </w:rPr>
        <w:t>10-year</w:t>
      </w:r>
      <w:r w:rsidR="00881E16">
        <w:rPr>
          <w:rStyle w:val="Strong"/>
          <w:b w:val="0"/>
          <w:bCs w:val="0"/>
        </w:rPr>
        <w:t xml:space="preserve"> standard deviation</w:t>
      </w:r>
      <w:r w:rsidR="00E455D9">
        <w:rPr>
          <w:rStyle w:val="Strong"/>
          <w:b w:val="0"/>
          <w:bCs w:val="0"/>
        </w:rPr>
        <w:t xml:space="preserve"> </w:t>
      </w:r>
      <w:r w:rsidR="00881E16">
        <w:rPr>
          <w:rStyle w:val="Strong"/>
          <w:b w:val="0"/>
          <w:bCs w:val="0"/>
        </w:rPr>
        <w:t xml:space="preserve">could be </w:t>
      </w:r>
      <w:proofErr w:type="gramStart"/>
      <w:r w:rsidR="00881E16">
        <w:rPr>
          <w:rStyle w:val="Strong"/>
          <w:b w:val="0"/>
          <w:bCs w:val="0"/>
        </w:rPr>
        <w:t>that,</w:t>
      </w:r>
      <w:proofErr w:type="gramEnd"/>
      <w:r w:rsidR="00881E16">
        <w:rPr>
          <w:rStyle w:val="Strong"/>
          <w:b w:val="0"/>
          <w:bCs w:val="0"/>
        </w:rPr>
        <w:t xml:space="preserve"> </w:t>
      </w:r>
      <w:r w:rsidR="00881E16" w:rsidRPr="00881E16">
        <w:rPr>
          <w:rStyle w:val="Strong"/>
          <w:b w:val="0"/>
          <w:bCs w:val="0"/>
        </w:rPr>
        <w:t>William Blair &amp; Company</w:t>
      </w:r>
      <w:r w:rsidR="00881E16">
        <w:rPr>
          <w:rStyle w:val="Strong"/>
          <w:b w:val="0"/>
          <w:bCs w:val="0"/>
        </w:rPr>
        <w:t xml:space="preserve"> tried to </w:t>
      </w:r>
      <w:r w:rsidR="00F54535">
        <w:rPr>
          <w:rStyle w:val="Strong"/>
          <w:b w:val="0"/>
          <w:bCs w:val="0"/>
        </w:rPr>
        <w:t xml:space="preserve">make </w:t>
      </w:r>
      <w:r w:rsidR="00881E16">
        <w:rPr>
          <w:rStyle w:val="Strong"/>
          <w:b w:val="0"/>
          <w:bCs w:val="0"/>
        </w:rPr>
        <w:t xml:space="preserve">its standard deviation </w:t>
      </w:r>
      <w:r w:rsidR="00F54535">
        <w:rPr>
          <w:rStyle w:val="Strong"/>
          <w:b w:val="0"/>
          <w:bCs w:val="0"/>
        </w:rPr>
        <w:t xml:space="preserve">looks smaller </w:t>
      </w:r>
      <w:r w:rsidR="00881E16">
        <w:rPr>
          <w:rStyle w:val="Strong"/>
          <w:b w:val="0"/>
          <w:bCs w:val="0"/>
        </w:rPr>
        <w:t xml:space="preserve">to attract more </w:t>
      </w:r>
      <w:r w:rsidR="00B7683D">
        <w:rPr>
          <w:rStyle w:val="Strong"/>
          <w:b w:val="0"/>
          <w:bCs w:val="0"/>
        </w:rPr>
        <w:t>investors</w:t>
      </w:r>
      <w:r w:rsidR="00881E16">
        <w:rPr>
          <w:rStyle w:val="Strong"/>
          <w:b w:val="0"/>
          <w:bCs w:val="0"/>
        </w:rPr>
        <w:t xml:space="preserve"> for the fund.</w:t>
      </w:r>
    </w:p>
    <w:p w14:paraId="131B5025" w14:textId="77777777" w:rsidR="009912FD" w:rsidRDefault="009912FD" w:rsidP="0043769F">
      <w:pPr>
        <w:spacing w:line="480" w:lineRule="auto"/>
        <w:rPr>
          <w:rStyle w:val="Strong"/>
        </w:rPr>
      </w:pPr>
    </w:p>
    <w:p w14:paraId="7FF98560" w14:textId="77777777" w:rsidR="009912FD" w:rsidRDefault="009912FD" w:rsidP="0043769F">
      <w:pPr>
        <w:spacing w:line="480" w:lineRule="auto"/>
        <w:rPr>
          <w:rStyle w:val="Strong"/>
        </w:rPr>
      </w:pPr>
    </w:p>
    <w:p w14:paraId="6F45B9C3" w14:textId="19DE4B40" w:rsidR="00FA3E43" w:rsidRDefault="0043769F" w:rsidP="0043769F">
      <w:pPr>
        <w:spacing w:line="480" w:lineRule="auto"/>
        <w:rPr>
          <w:rStyle w:val="Strong"/>
        </w:rPr>
      </w:pPr>
      <w:r>
        <w:rPr>
          <w:rStyle w:val="Strong"/>
        </w:rPr>
        <w:t xml:space="preserve">4.3 </w:t>
      </w:r>
      <w:r w:rsidR="00FA3E43" w:rsidRPr="0043769F">
        <w:rPr>
          <w:rStyle w:val="Strong"/>
        </w:rPr>
        <w:t xml:space="preserve">Value at Risk </w:t>
      </w:r>
    </w:p>
    <w:p w14:paraId="09CC41B7" w14:textId="5543BE3F" w:rsidR="00415ED8" w:rsidRDefault="00953459" w:rsidP="0043769F">
      <w:pPr>
        <w:spacing w:line="480" w:lineRule="auto"/>
        <w:rPr>
          <w:rStyle w:val="Strong"/>
          <w:b w:val="0"/>
          <w:bCs w:val="0"/>
        </w:rPr>
      </w:pPr>
      <w:r w:rsidRPr="00953459">
        <w:rPr>
          <w:rStyle w:val="Strong"/>
          <w:b w:val="0"/>
          <w:bCs w:val="0"/>
        </w:rPr>
        <w:t>Value at risk</w:t>
      </w:r>
      <w:r w:rsidR="007D65B5">
        <w:rPr>
          <w:rStyle w:val="Strong"/>
          <w:b w:val="0"/>
          <w:bCs w:val="0"/>
        </w:rPr>
        <w:t xml:space="preserve"> (</w:t>
      </w:r>
      <w:proofErr w:type="spellStart"/>
      <w:r w:rsidR="007D65B5">
        <w:rPr>
          <w:rStyle w:val="Strong"/>
          <w:b w:val="0"/>
          <w:bCs w:val="0"/>
        </w:rPr>
        <w:t>VaR</w:t>
      </w:r>
      <w:proofErr w:type="spellEnd"/>
      <w:r w:rsidR="007D65B5">
        <w:rPr>
          <w:rStyle w:val="Strong"/>
          <w:b w:val="0"/>
          <w:bCs w:val="0"/>
        </w:rPr>
        <w:t>)</w:t>
      </w:r>
      <w:r w:rsidRPr="00953459">
        <w:rPr>
          <w:rStyle w:val="Strong"/>
          <w:b w:val="0"/>
          <w:bCs w:val="0"/>
        </w:rPr>
        <w:t xml:space="preserve"> measure the risk of loss for an investment. </w:t>
      </w:r>
      <w:r>
        <w:rPr>
          <w:rStyle w:val="Strong"/>
          <w:b w:val="0"/>
          <w:bCs w:val="0"/>
        </w:rPr>
        <w:t xml:space="preserve">It is determined by the three variables: </w:t>
      </w:r>
      <w:proofErr w:type="gramStart"/>
      <w:r>
        <w:rPr>
          <w:rStyle w:val="Strong"/>
          <w:b w:val="0"/>
          <w:bCs w:val="0"/>
        </w:rPr>
        <w:t>time period</w:t>
      </w:r>
      <w:proofErr w:type="gramEnd"/>
      <w:r>
        <w:rPr>
          <w:rStyle w:val="Strong"/>
          <w:b w:val="0"/>
          <w:bCs w:val="0"/>
        </w:rPr>
        <w:t xml:space="preserve">, confidence interval, and size of possible loss. </w:t>
      </w:r>
      <w:r w:rsidR="007D65B5">
        <w:rPr>
          <w:rStyle w:val="Strong"/>
          <w:b w:val="0"/>
          <w:bCs w:val="0"/>
        </w:rPr>
        <w:t xml:space="preserve">There are multiple methods to calculate </w:t>
      </w:r>
      <w:proofErr w:type="spellStart"/>
      <w:r w:rsidR="007D65B5">
        <w:rPr>
          <w:rStyle w:val="Strong"/>
          <w:b w:val="0"/>
          <w:bCs w:val="0"/>
        </w:rPr>
        <w:t>VaR</w:t>
      </w:r>
      <w:proofErr w:type="spellEnd"/>
      <w:r w:rsidR="007D65B5">
        <w:rPr>
          <w:rStyle w:val="Strong"/>
          <w:b w:val="0"/>
          <w:bCs w:val="0"/>
        </w:rPr>
        <w:t>, in our case, we use historical method:</w:t>
      </w:r>
    </w:p>
    <w:p w14:paraId="67734EED" w14:textId="543C8C5F" w:rsidR="00415ED8" w:rsidRDefault="00415ED8" w:rsidP="0043769F">
      <w:pPr>
        <w:spacing w:line="480" w:lineRule="auto"/>
        <w:rPr>
          <w:rStyle w:val="Strong"/>
          <w:b w:val="0"/>
          <w:bCs w:val="0"/>
        </w:rPr>
      </w:pPr>
      <m:oMathPara>
        <m:oMath>
          <m:r>
            <w:rPr>
              <w:rStyle w:val="Strong"/>
              <w:rFonts w:ascii="Cambria Math" w:hAnsi="Cambria Math"/>
            </w:rPr>
            <m:t xml:space="preserve">VaR= </m:t>
          </m:r>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m</m:t>
              </m:r>
            </m:sub>
          </m:sSub>
          <m:f>
            <m:fPr>
              <m:ctrlPr>
                <w:rPr>
                  <w:rStyle w:val="Strong"/>
                  <w:rFonts w:ascii="Cambria Math" w:hAnsi="Cambria Math"/>
                  <w:b w:val="0"/>
                  <w:bCs w:val="0"/>
                  <w:i/>
                </w:rPr>
              </m:ctrlPr>
            </m:fPr>
            <m:num>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i</m:t>
                  </m:r>
                </m:sub>
              </m:sSub>
            </m:num>
            <m:den>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i-1</m:t>
                  </m:r>
                </m:sub>
              </m:sSub>
            </m:den>
          </m:f>
        </m:oMath>
      </m:oMathPara>
    </w:p>
    <w:p w14:paraId="0FDB3AFB" w14:textId="15D474E3" w:rsidR="00415ED8" w:rsidRDefault="00415ED8" w:rsidP="0043769F">
      <w:pPr>
        <w:spacing w:line="480" w:lineRule="auto"/>
        <w:rPr>
          <w:rStyle w:val="Strong"/>
          <w:b w:val="0"/>
          <w:bCs w:val="0"/>
        </w:rPr>
      </w:pPr>
    </w:p>
    <w:p w14:paraId="1294F485" w14:textId="1975FC51" w:rsidR="00DD2E22" w:rsidRDefault="00DD2E22" w:rsidP="00DD2E22">
      <w:pPr>
        <w:spacing w:line="480" w:lineRule="auto"/>
        <w:rPr>
          <w:rStyle w:val="Strong"/>
          <w:b w:val="0"/>
          <w:bCs w:val="0"/>
        </w:rPr>
      </w:pPr>
      <w:r>
        <w:rPr>
          <w:rStyle w:val="Strong"/>
          <w:b w:val="0"/>
          <w:bCs w:val="0"/>
        </w:rPr>
        <w:t xml:space="preserve">Where </w:t>
      </w:r>
      <w:r w:rsidRPr="00DD2E22">
        <w:rPr>
          <w:rStyle w:val="Strong"/>
          <w:b w:val="0"/>
          <w:bCs w:val="0"/>
        </w:rPr>
        <w:t xml:space="preserve">vi is the number of variables on day </w:t>
      </w:r>
      <w:proofErr w:type="spellStart"/>
      <w:r>
        <w:rPr>
          <w:rStyle w:val="Strong"/>
          <w:b w:val="0"/>
          <w:bCs w:val="0"/>
        </w:rPr>
        <w:t>i</w:t>
      </w:r>
      <w:proofErr w:type="spellEnd"/>
      <w:r>
        <w:rPr>
          <w:rStyle w:val="Strong"/>
          <w:b w:val="0"/>
          <w:bCs w:val="0"/>
        </w:rPr>
        <w:t xml:space="preserve"> and </w:t>
      </w:r>
      <w:r w:rsidRPr="00DD2E22">
        <w:rPr>
          <w:rStyle w:val="Strong"/>
          <w:b w:val="0"/>
          <w:bCs w:val="0"/>
        </w:rPr>
        <w:t>m is the number of days from which historical data is taken</w:t>
      </w:r>
      <w:r w:rsidR="007B3B9B">
        <w:rPr>
          <w:rStyle w:val="Strong"/>
          <w:b w:val="0"/>
          <w:bCs w:val="0"/>
        </w:rPr>
        <w:t>.</w:t>
      </w:r>
    </w:p>
    <w:p w14:paraId="5E5D6D9D" w14:textId="1C986B3C" w:rsidR="00206201" w:rsidRPr="00953459" w:rsidRDefault="00206201" w:rsidP="00DD2E22">
      <w:pPr>
        <w:spacing w:line="480" w:lineRule="auto"/>
        <w:rPr>
          <w:rStyle w:val="Strong"/>
          <w:b w:val="0"/>
          <w:bCs w:val="0"/>
        </w:rPr>
      </w:pPr>
      <w:r>
        <w:rPr>
          <w:rStyle w:val="Strong"/>
          <w:b w:val="0"/>
          <w:bCs w:val="0"/>
        </w:rPr>
        <w:t xml:space="preserve">Based on the historical weekly return, from the calculation (in given </w:t>
      </w:r>
      <w:proofErr w:type="gramStart"/>
      <w:r>
        <w:rPr>
          <w:rStyle w:val="Strong"/>
          <w:b w:val="0"/>
          <w:bCs w:val="0"/>
        </w:rPr>
        <w:t>Excel)we</w:t>
      </w:r>
      <w:proofErr w:type="gramEnd"/>
      <w:r>
        <w:rPr>
          <w:rStyle w:val="Strong"/>
          <w:b w:val="0"/>
          <w:bCs w:val="0"/>
        </w:rPr>
        <w:t xml:space="preserve"> know that for WBSIX, there is a 95% chance that its weekly return will be above -4.89% and there is 99% chance that its weekly return will be above -13.94%.</w:t>
      </w:r>
    </w:p>
    <w:p w14:paraId="6D7817ED" w14:textId="227EBDBF" w:rsidR="00426995" w:rsidRDefault="00426995" w:rsidP="007D08CF">
      <w:pPr>
        <w:spacing w:line="480" w:lineRule="auto"/>
        <w:rPr>
          <w:rStyle w:val="Strong"/>
        </w:rPr>
      </w:pPr>
      <w:r>
        <w:rPr>
          <w:rStyle w:val="Strong"/>
        </w:rPr>
        <w:t>4.</w:t>
      </w:r>
      <w:r w:rsidR="0043769F">
        <w:rPr>
          <w:rStyle w:val="Strong"/>
        </w:rPr>
        <w:t>4</w:t>
      </w:r>
      <w:r>
        <w:rPr>
          <w:rStyle w:val="Strong"/>
        </w:rPr>
        <w:t xml:space="preserve"> Portfolio Beta</w:t>
      </w:r>
    </w:p>
    <w:p w14:paraId="3F781358" w14:textId="7001AA04" w:rsidR="00002F0E" w:rsidRPr="00002F0E" w:rsidRDefault="00AA6768" w:rsidP="00E656A0">
      <w:pPr>
        <w:spacing w:line="480" w:lineRule="auto"/>
        <w:ind w:firstLine="720"/>
        <w:rPr>
          <w:rStyle w:val="Strong"/>
          <w:b w:val="0"/>
          <w:bCs w:val="0"/>
        </w:rPr>
      </w:pPr>
      <w:r>
        <w:rPr>
          <w:rStyle w:val="Strong"/>
          <w:b w:val="0"/>
          <w:bCs w:val="0"/>
        </w:rPr>
        <w:t>In our case, B</w:t>
      </w:r>
      <w:r w:rsidR="00002F0E" w:rsidRPr="00002F0E">
        <w:rPr>
          <w:rStyle w:val="Strong"/>
          <w:b w:val="0"/>
          <w:bCs w:val="0"/>
        </w:rPr>
        <w:t xml:space="preserve">eta </w:t>
      </w:r>
      <w:r w:rsidR="00002F0E">
        <w:rPr>
          <w:rStyle w:val="Strong"/>
          <w:b w:val="0"/>
          <w:bCs w:val="0"/>
        </w:rPr>
        <w:t xml:space="preserve">is an indicator of the </w:t>
      </w:r>
      <w:r w:rsidR="00002F0E" w:rsidRPr="00002F0E">
        <w:rPr>
          <w:rStyle w:val="Strong"/>
          <w:b w:val="0"/>
          <w:bCs w:val="0"/>
        </w:rPr>
        <w:t>volatility</w:t>
      </w:r>
      <w:r w:rsidR="00002F0E">
        <w:rPr>
          <w:rStyle w:val="Strong"/>
          <w:b w:val="0"/>
          <w:bCs w:val="0"/>
        </w:rPr>
        <w:t xml:space="preserve"> of </w:t>
      </w:r>
      <w:r>
        <w:rPr>
          <w:rStyle w:val="Strong"/>
          <w:b w:val="0"/>
          <w:bCs w:val="0"/>
        </w:rPr>
        <w:t>WBSIX comparing to the whole market. If the beta of WBSIX is larger than 1, then the WBSIX is more volatile than the overall market.</w:t>
      </w:r>
    </w:p>
    <w:p w14:paraId="31212BC9" w14:textId="39998720" w:rsidR="00F26D6E" w:rsidRDefault="00B1654F" w:rsidP="00002F0E">
      <w:pPr>
        <w:spacing w:line="480" w:lineRule="auto"/>
        <w:rPr>
          <w:rStyle w:val="Strong"/>
          <w:b w:val="0"/>
          <w:bCs w:val="0"/>
        </w:rPr>
      </w:pPr>
      <w:r w:rsidRPr="00B1654F">
        <w:rPr>
          <w:rStyle w:val="Strong"/>
          <w:b w:val="0"/>
          <w:bCs w:val="0"/>
        </w:rPr>
        <w:t xml:space="preserve">There is no reported portfolio beta on the </w:t>
      </w:r>
      <w:r w:rsidR="00CB41C1">
        <w:rPr>
          <w:rStyle w:val="Strong"/>
          <w:b w:val="0"/>
          <w:bCs w:val="0"/>
        </w:rPr>
        <w:t xml:space="preserve">William Blair </w:t>
      </w:r>
      <w:r w:rsidRPr="00B1654F">
        <w:rPr>
          <w:rStyle w:val="Strong"/>
          <w:b w:val="0"/>
          <w:bCs w:val="0"/>
        </w:rPr>
        <w:t xml:space="preserve">website, neither the full information of </w:t>
      </w:r>
      <w:r w:rsidR="00C02B76" w:rsidRPr="00B1654F">
        <w:rPr>
          <w:rStyle w:val="Strong"/>
          <w:b w:val="0"/>
          <w:bCs w:val="0"/>
        </w:rPr>
        <w:t>the whole</w:t>
      </w:r>
      <w:r w:rsidRPr="00B1654F">
        <w:rPr>
          <w:rStyle w:val="Strong"/>
          <w:b w:val="0"/>
          <w:bCs w:val="0"/>
        </w:rPr>
        <w:t xml:space="preserve"> 91 holdings could be found</w:t>
      </w:r>
      <w:r w:rsidR="00002F0E">
        <w:rPr>
          <w:rStyle w:val="Strong"/>
          <w:b w:val="0"/>
          <w:bCs w:val="0"/>
        </w:rPr>
        <w:t>, so we will be using the</w:t>
      </w:r>
      <w:r w:rsidR="00AA797A">
        <w:rPr>
          <w:rStyle w:val="Strong"/>
          <w:b w:val="0"/>
          <w:bCs w:val="0"/>
        </w:rPr>
        <w:t xml:space="preserve"> formula to calculate the Beta of WBSIX:</w:t>
      </w:r>
    </w:p>
    <w:p w14:paraId="51E1ADB1" w14:textId="10136FB1" w:rsidR="00AA797A" w:rsidRPr="00D148CC" w:rsidRDefault="00FD4210" w:rsidP="00002F0E">
      <w:pPr>
        <w:spacing w:line="480" w:lineRule="auto"/>
        <w:rPr>
          <w:rStyle w:val="Strong"/>
          <w:b w:val="0"/>
          <w:bCs w:val="0"/>
        </w:rPr>
      </w:pPr>
      <m:oMathPara>
        <m:oMath>
          <m:r>
            <w:rPr>
              <w:rStyle w:val="Strong"/>
              <w:rFonts w:ascii="Cambria Math" w:hAnsi="Cambria Math"/>
            </w:rPr>
            <w:lastRenderedPageBreak/>
            <m:t>Beta of WBSIX=r*</m:t>
          </m:r>
          <m:f>
            <m:fPr>
              <m:ctrlPr>
                <w:rPr>
                  <w:rStyle w:val="Strong"/>
                  <w:rFonts w:ascii="Cambria Math" w:hAnsi="Cambria Math"/>
                  <w:b w:val="0"/>
                  <w:bCs w:val="0"/>
                  <w:i/>
                </w:rPr>
              </m:ctrlPr>
            </m:fPr>
            <m:num>
              <m:r>
                <w:rPr>
                  <w:rStyle w:val="Strong"/>
                  <w:rFonts w:ascii="Cambria Math" w:hAnsi="Cambria Math"/>
                </w:rPr>
                <m:t>WBSI</m:t>
              </m:r>
              <m:sSup>
                <m:sSupPr>
                  <m:ctrlPr>
                    <w:rPr>
                      <w:rStyle w:val="Strong"/>
                      <w:rFonts w:ascii="Cambria Math" w:hAnsi="Cambria Math"/>
                      <w:b w:val="0"/>
                      <w:bCs w:val="0"/>
                      <w:i/>
                    </w:rPr>
                  </m:ctrlPr>
                </m:sSupPr>
                <m:e>
                  <m:r>
                    <w:rPr>
                      <w:rStyle w:val="Strong"/>
                      <w:rFonts w:ascii="Cambria Math" w:hAnsi="Cambria Math"/>
                    </w:rPr>
                    <m:t>X</m:t>
                  </m:r>
                </m:e>
                <m:sup>
                  <m:r>
                    <w:rPr>
                      <w:rStyle w:val="Strong"/>
                      <w:rFonts w:ascii="Cambria Math" w:hAnsi="Cambria Math"/>
                    </w:rPr>
                    <m:t>'</m:t>
                  </m:r>
                </m:sup>
              </m:sSup>
              <m:r>
                <w:rPr>
                  <w:rStyle w:val="Strong"/>
                  <w:rFonts w:ascii="Cambria Math" w:hAnsi="Cambria Math"/>
                </w:rPr>
                <m:t>s standard deviation</m:t>
              </m:r>
            </m:num>
            <m:den>
              <m:r>
                <w:rPr>
                  <w:rStyle w:val="Strong"/>
                  <w:rFonts w:ascii="Cambria Math" w:hAnsi="Cambria Math"/>
                </w:rPr>
                <m:t>Benchamrk</m:t>
              </m:r>
              <m:sSup>
                <m:sSupPr>
                  <m:ctrlPr>
                    <w:rPr>
                      <w:rStyle w:val="Strong"/>
                      <w:rFonts w:ascii="Cambria Math" w:hAnsi="Cambria Math"/>
                      <w:b w:val="0"/>
                      <w:bCs w:val="0"/>
                      <w:i/>
                    </w:rPr>
                  </m:ctrlPr>
                </m:sSupPr>
                <m:e>
                  <m:r>
                    <w:rPr>
                      <w:rStyle w:val="Strong"/>
                      <w:rFonts w:ascii="Cambria Math" w:hAnsi="Cambria Math"/>
                    </w:rPr>
                    <m:t>s</m:t>
                  </m:r>
                </m:e>
                <m:sup>
                  <m:r>
                    <w:rPr>
                      <w:rStyle w:val="Strong"/>
                      <w:rFonts w:ascii="Cambria Math" w:hAnsi="Cambria Math"/>
                    </w:rPr>
                    <m:t>'</m:t>
                  </m:r>
                </m:sup>
              </m:sSup>
              <m:r>
                <w:rPr>
                  <w:rStyle w:val="Strong"/>
                  <w:rFonts w:ascii="Cambria Math" w:hAnsi="Cambria Math"/>
                </w:rPr>
                <m:t xml:space="preserve"> standard deviation </m:t>
              </m:r>
            </m:den>
          </m:f>
        </m:oMath>
      </m:oMathPara>
    </w:p>
    <w:p w14:paraId="54B08C67" w14:textId="32869D90" w:rsidR="00D148CC" w:rsidRDefault="00D148CC" w:rsidP="00002F0E">
      <w:pPr>
        <w:spacing w:line="480" w:lineRule="auto"/>
        <w:rPr>
          <w:rStyle w:val="Strong"/>
          <w:b w:val="0"/>
          <w:bCs w:val="0"/>
        </w:rPr>
      </w:pPr>
      <w:r>
        <w:rPr>
          <w:rStyle w:val="Strong"/>
          <w:b w:val="0"/>
          <w:bCs w:val="0"/>
        </w:rPr>
        <w:t xml:space="preserve">r is the correlation between WBSIX and the </w:t>
      </w:r>
      <w:r w:rsidR="005C4548">
        <w:rPr>
          <w:rStyle w:val="Strong"/>
          <w:b w:val="0"/>
          <w:bCs w:val="0"/>
        </w:rPr>
        <w:t>benchmark</w:t>
      </w:r>
      <w:r>
        <w:rPr>
          <w:rStyle w:val="Strong"/>
          <w:b w:val="0"/>
          <w:bCs w:val="0"/>
        </w:rPr>
        <w:t>.</w:t>
      </w:r>
    </w:p>
    <w:p w14:paraId="244F9C1F" w14:textId="3067159C" w:rsidR="005C4548" w:rsidRDefault="008802E9" w:rsidP="00E656A0">
      <w:pPr>
        <w:spacing w:line="480" w:lineRule="auto"/>
        <w:ind w:firstLine="720"/>
        <w:rPr>
          <w:rStyle w:val="Strong"/>
          <w:b w:val="0"/>
          <w:bCs w:val="0"/>
        </w:rPr>
      </w:pPr>
      <w:r>
        <w:rPr>
          <w:rStyle w:val="Strong"/>
          <w:b w:val="0"/>
          <w:bCs w:val="0"/>
        </w:rPr>
        <w:t xml:space="preserve">On the William Blair Website, they reported the SD of an index fund to be 19.44%, however, we do not have the correlation value of this index and the WBSIX, so we adopted the </w:t>
      </w:r>
      <w:r w:rsidR="00854BE2" w:rsidRPr="00854BE2">
        <w:rPr>
          <w:rStyle w:val="Strong"/>
          <w:b w:val="0"/>
          <w:bCs w:val="0"/>
        </w:rPr>
        <w:t>S&amp;P 500 Index Fund Class S</w:t>
      </w:r>
      <w:r w:rsidR="00854BE2">
        <w:rPr>
          <w:rStyle w:val="Strong"/>
          <w:b w:val="0"/>
          <w:bCs w:val="0"/>
        </w:rPr>
        <w:t xml:space="preserve"> (</w:t>
      </w:r>
      <w:r w:rsidR="00854BE2" w:rsidRPr="00854BE2">
        <w:rPr>
          <w:rStyle w:val="Strong"/>
          <w:b w:val="0"/>
          <w:bCs w:val="0"/>
        </w:rPr>
        <w:t>SPFIX</w:t>
      </w:r>
      <w:r w:rsidR="00854BE2">
        <w:rPr>
          <w:rStyle w:val="Strong"/>
          <w:b w:val="0"/>
          <w:bCs w:val="0"/>
        </w:rPr>
        <w:t xml:space="preserve">) </w:t>
      </w:r>
      <w:r w:rsidR="00C57D41">
        <w:rPr>
          <w:rStyle w:val="Strong"/>
          <w:b w:val="0"/>
          <w:bCs w:val="0"/>
        </w:rPr>
        <w:t>from the same data source (</w:t>
      </w:r>
      <w:r w:rsidR="00C57D41">
        <w:t>Nasdaq, 2022)</w:t>
      </w:r>
      <w:r w:rsidR="00C57D41">
        <w:rPr>
          <w:rStyle w:val="Strong"/>
          <w:b w:val="0"/>
          <w:bCs w:val="0"/>
        </w:rPr>
        <w:t xml:space="preserve"> </w:t>
      </w:r>
      <w:r w:rsidR="00854BE2">
        <w:rPr>
          <w:rStyle w:val="Strong"/>
          <w:b w:val="0"/>
          <w:bCs w:val="0"/>
        </w:rPr>
        <w:t>to represent the overall market and calculated the correlation between SPFIX and WBSIX</w:t>
      </w:r>
      <w:r w:rsidR="00B822F0">
        <w:rPr>
          <w:rStyle w:val="Strong"/>
          <w:b w:val="0"/>
          <w:bCs w:val="0"/>
        </w:rPr>
        <w:t xml:space="preserve">: </w:t>
      </w:r>
      <w:r w:rsidR="00E204D4" w:rsidRPr="00E204D4">
        <w:rPr>
          <w:rStyle w:val="Strong"/>
          <w:b w:val="0"/>
          <w:bCs w:val="0"/>
        </w:rPr>
        <w:t>0.640455086</w:t>
      </w:r>
    </w:p>
    <w:p w14:paraId="79A1186D" w14:textId="070F8809" w:rsidR="005749A3" w:rsidRDefault="00585BA2" w:rsidP="00002F0E">
      <w:pPr>
        <w:spacing w:line="480" w:lineRule="auto"/>
        <w:rPr>
          <w:rStyle w:val="Strong"/>
          <w:b w:val="0"/>
          <w:bCs w:val="0"/>
        </w:rPr>
      </w:pPr>
      <w:r>
        <w:rPr>
          <w:rStyle w:val="Strong"/>
          <w:b w:val="0"/>
          <w:bCs w:val="0"/>
        </w:rPr>
        <w:t xml:space="preserve">The reported 10-year standard deviation of SPFIX is </w:t>
      </w:r>
      <w:r w:rsidR="005245DF">
        <w:rPr>
          <w:rStyle w:val="Strong"/>
          <w:b w:val="0"/>
          <w:bCs w:val="0"/>
        </w:rPr>
        <w:t xml:space="preserve">0.14 (Yahoo Finance, 2022). </w:t>
      </w:r>
      <w:r w:rsidR="005F22C9">
        <w:rPr>
          <w:rStyle w:val="Strong"/>
          <w:b w:val="0"/>
          <w:bCs w:val="0"/>
        </w:rPr>
        <w:t>Hence, the</w:t>
      </w:r>
      <w:r w:rsidR="005245DF">
        <w:rPr>
          <w:rStyle w:val="Strong"/>
          <w:b w:val="0"/>
          <w:bCs w:val="0"/>
        </w:rPr>
        <w:t xml:space="preserve"> beta of WBSIX portfolio is:</w:t>
      </w:r>
    </w:p>
    <w:p w14:paraId="2B59E7B6" w14:textId="25FABA3B" w:rsidR="005245DF" w:rsidRPr="00421FBA" w:rsidRDefault="00071B22" w:rsidP="00002F0E">
      <w:pPr>
        <w:spacing w:line="480" w:lineRule="auto"/>
        <w:rPr>
          <w:rStyle w:val="Strong"/>
          <w:b w:val="0"/>
          <w:bCs w:val="0"/>
        </w:rPr>
      </w:pPr>
      <m:oMathPara>
        <m:oMath>
          <m:r>
            <w:rPr>
              <w:rStyle w:val="Strong"/>
              <w:rFonts w:ascii="Cambria Math" w:hAnsi="Cambria Math"/>
            </w:rPr>
            <m:t>Beta=</m:t>
          </m:r>
          <m:r>
            <m:rPr>
              <m:sty m:val="p"/>
            </m:rPr>
            <w:rPr>
              <w:rStyle w:val="Strong"/>
              <w:rFonts w:ascii="Cambria Math" w:hAnsi="Cambria Math"/>
            </w:rPr>
            <m:t>0.640455086</m:t>
          </m:r>
          <m:r>
            <m:rPr>
              <m:sty m:val="p"/>
            </m:rPr>
            <w:rPr>
              <w:rStyle w:val="Strong"/>
              <w:rFonts w:ascii="Cambria Math" w:hAnsi="Cambria Math" w:cs="Cambria Math"/>
            </w:rPr>
            <m:t>*</m:t>
          </m:r>
          <m:r>
            <w:rPr>
              <w:rStyle w:val="Strong"/>
              <w:rFonts w:ascii="Cambria Math" w:hAnsi="Cambria Math"/>
            </w:rPr>
            <m:t xml:space="preserve"> </m:t>
          </m:r>
          <m:f>
            <m:fPr>
              <m:ctrlPr>
                <w:rPr>
                  <w:rStyle w:val="Strong"/>
                  <w:rFonts w:ascii="Cambria Math" w:hAnsi="Cambria Math"/>
                  <w:b w:val="0"/>
                  <w:bCs w:val="0"/>
                  <w:i/>
                </w:rPr>
              </m:ctrlPr>
            </m:fPr>
            <m:num>
              <m:r>
                <w:rPr>
                  <w:rStyle w:val="Strong"/>
                  <w:rFonts w:ascii="Cambria Math" w:hAnsi="Cambria Math"/>
                </w:rPr>
                <m:t>0.25786</m:t>
              </m:r>
            </m:num>
            <m:den>
              <m:r>
                <w:rPr>
                  <w:rStyle w:val="Strong"/>
                  <w:rFonts w:ascii="Cambria Math" w:hAnsi="Cambria Math"/>
                </w:rPr>
                <m:t>0.14</m:t>
              </m:r>
            </m:den>
          </m:f>
          <m:r>
            <w:rPr>
              <w:rStyle w:val="Strong"/>
              <w:rFonts w:ascii="Cambria Math" w:hAnsi="Cambria Math"/>
            </w:rPr>
            <m:t>=1.179625</m:t>
          </m:r>
        </m:oMath>
      </m:oMathPara>
    </w:p>
    <w:p w14:paraId="7877F24F" w14:textId="482356BD" w:rsidR="00421FBA" w:rsidRPr="00B1654F" w:rsidRDefault="00645A56" w:rsidP="00EB4658">
      <w:pPr>
        <w:spacing w:line="480" w:lineRule="auto"/>
        <w:rPr>
          <w:rStyle w:val="Strong"/>
          <w:b w:val="0"/>
          <w:bCs w:val="0"/>
        </w:rPr>
      </w:pPr>
      <w:r>
        <w:rPr>
          <w:rStyle w:val="Strong"/>
          <w:b w:val="0"/>
          <w:bCs w:val="0"/>
        </w:rPr>
        <w:t xml:space="preserve">The beta of </w:t>
      </w:r>
      <w:r w:rsidR="00E17800">
        <w:rPr>
          <w:rStyle w:val="Strong"/>
          <w:b w:val="0"/>
          <w:bCs w:val="0"/>
        </w:rPr>
        <w:t>WBSIX</w:t>
      </w:r>
      <w:r>
        <w:rPr>
          <w:rStyle w:val="Strong"/>
          <w:b w:val="0"/>
          <w:bCs w:val="0"/>
        </w:rPr>
        <w:t xml:space="preserve"> is </w:t>
      </w:r>
      <w:r w:rsidR="008A5430" w:rsidRPr="008A5430">
        <w:rPr>
          <w:rStyle w:val="Strong"/>
          <w:b w:val="0"/>
          <w:bCs w:val="0"/>
        </w:rPr>
        <w:t>1.179625</w:t>
      </w:r>
      <w:r>
        <w:rPr>
          <w:rStyle w:val="Strong"/>
          <w:b w:val="0"/>
          <w:bCs w:val="0"/>
        </w:rPr>
        <w:t xml:space="preserve">, this is </w:t>
      </w:r>
      <w:r w:rsidR="00DF6320">
        <w:rPr>
          <w:rStyle w:val="Strong"/>
          <w:b w:val="0"/>
          <w:bCs w:val="0"/>
        </w:rPr>
        <w:t>a bit bigger</w:t>
      </w:r>
      <w:r>
        <w:rPr>
          <w:rStyle w:val="Strong"/>
          <w:b w:val="0"/>
          <w:bCs w:val="0"/>
        </w:rPr>
        <w:t xml:space="preserve"> than 1, indicating that </w:t>
      </w:r>
      <w:r w:rsidR="00C92FFB">
        <w:rPr>
          <w:rStyle w:val="Strong"/>
          <w:b w:val="0"/>
          <w:bCs w:val="0"/>
        </w:rPr>
        <w:t xml:space="preserve">WBSIX </w:t>
      </w:r>
      <w:r>
        <w:rPr>
          <w:rStyle w:val="Strong"/>
          <w:b w:val="0"/>
          <w:bCs w:val="0"/>
        </w:rPr>
        <w:t>is more volatile than the overall market.</w:t>
      </w:r>
    </w:p>
    <w:p w14:paraId="533D341D" w14:textId="6613764B" w:rsidR="00426995" w:rsidRDefault="00426995" w:rsidP="007D08CF">
      <w:pPr>
        <w:spacing w:line="480" w:lineRule="auto"/>
        <w:rPr>
          <w:rStyle w:val="Strong"/>
        </w:rPr>
      </w:pPr>
      <w:r>
        <w:rPr>
          <w:rStyle w:val="Strong"/>
        </w:rPr>
        <w:t>4.</w:t>
      </w:r>
      <w:r w:rsidR="0043769F">
        <w:rPr>
          <w:rStyle w:val="Strong"/>
        </w:rPr>
        <w:t>5</w:t>
      </w:r>
      <w:r>
        <w:rPr>
          <w:rStyle w:val="Strong"/>
        </w:rPr>
        <w:t xml:space="preserve"> Sharpe Ratio</w:t>
      </w:r>
    </w:p>
    <w:p w14:paraId="4FB5E955" w14:textId="22729251" w:rsidR="00AA7E22" w:rsidRDefault="0035088E" w:rsidP="00FC60BA">
      <w:pPr>
        <w:spacing w:line="480" w:lineRule="auto"/>
        <w:ind w:firstLine="720"/>
        <w:rPr>
          <w:rStyle w:val="Strong"/>
          <w:b w:val="0"/>
          <w:bCs w:val="0"/>
        </w:rPr>
      </w:pPr>
      <w:r w:rsidRPr="00B14871">
        <w:rPr>
          <w:rStyle w:val="Strong"/>
          <w:b w:val="0"/>
          <w:bCs w:val="0"/>
        </w:rPr>
        <w:t>Sharpe ratio is also called adjusted risk</w:t>
      </w:r>
      <w:r w:rsidR="00B14871">
        <w:rPr>
          <w:rStyle w:val="Strong"/>
          <w:b w:val="0"/>
          <w:bCs w:val="0"/>
        </w:rPr>
        <w:t xml:space="preserve">, a mutual fund with higher Sharpe ratio </w:t>
      </w:r>
      <w:proofErr w:type="gramStart"/>
      <w:r w:rsidR="00B14871">
        <w:rPr>
          <w:rStyle w:val="Strong"/>
          <w:b w:val="0"/>
          <w:bCs w:val="0"/>
        </w:rPr>
        <w:t>is considered to be</w:t>
      </w:r>
      <w:proofErr w:type="gramEnd"/>
      <w:r w:rsidR="00B14871">
        <w:rPr>
          <w:rStyle w:val="Strong"/>
          <w:b w:val="0"/>
          <w:bCs w:val="0"/>
        </w:rPr>
        <w:t xml:space="preserve"> better than a fund with lower Sharpe ratio (Sharpe, 1998). </w:t>
      </w:r>
      <w:r w:rsidR="00D937B3">
        <w:rPr>
          <w:rStyle w:val="Strong"/>
          <w:b w:val="0"/>
          <w:bCs w:val="0"/>
        </w:rPr>
        <w:t xml:space="preserve"> To calculate the Sharpe ratio for our WBSIX, we use the following formula:</w:t>
      </w:r>
    </w:p>
    <w:p w14:paraId="1F1D756A" w14:textId="4CB24CB1" w:rsidR="00EC3874" w:rsidRPr="00EB4658" w:rsidRDefault="00B807E5" w:rsidP="007D08CF">
      <w:pPr>
        <w:spacing w:line="480" w:lineRule="auto"/>
        <w:rPr>
          <w:rStyle w:val="Strong"/>
          <w:b w:val="0"/>
          <w:bCs w:val="0"/>
        </w:rPr>
      </w:pPr>
      <m:oMathPara>
        <m:oMath>
          <m:r>
            <w:rPr>
              <w:rStyle w:val="Strong"/>
              <w:rFonts w:ascii="Cambria Math" w:hAnsi="Cambria Math"/>
            </w:rPr>
            <m:t xml:space="preserve">Sharpe ratio= </m:t>
          </m:r>
          <m:f>
            <m:fPr>
              <m:ctrlPr>
                <w:rPr>
                  <w:rStyle w:val="Strong"/>
                  <w:rFonts w:ascii="Cambria Math" w:hAnsi="Cambria Math"/>
                  <w:b w:val="0"/>
                  <w:bCs w:val="0"/>
                  <w:i/>
                </w:rPr>
              </m:ctrlPr>
            </m:fPr>
            <m:num>
              <m:r>
                <w:rPr>
                  <w:rStyle w:val="Strong"/>
                  <w:rFonts w:ascii="Cambria Math" w:hAnsi="Cambria Math"/>
                </w:rPr>
                <m:t xml:space="preserve">Expected return of WBSIX-Risk free return </m:t>
              </m:r>
            </m:num>
            <m:den>
              <m:r>
                <w:rPr>
                  <w:rStyle w:val="Strong"/>
                  <w:rFonts w:ascii="Cambria Math" w:hAnsi="Cambria Math"/>
                </w:rPr>
                <m:t xml:space="preserve">Standard deviation of WBSIX </m:t>
              </m:r>
            </m:den>
          </m:f>
        </m:oMath>
      </m:oMathPara>
    </w:p>
    <w:p w14:paraId="20719ABD" w14:textId="776754BC" w:rsidR="00FD5BD6" w:rsidRDefault="00FC60BA" w:rsidP="007418E6">
      <w:pPr>
        <w:spacing w:line="480" w:lineRule="auto"/>
        <w:rPr>
          <w:rStyle w:val="Strong"/>
          <w:b w:val="0"/>
          <w:bCs w:val="0"/>
        </w:rPr>
      </w:pPr>
      <w:r>
        <w:rPr>
          <w:rStyle w:val="Strong"/>
          <w:b w:val="0"/>
          <w:bCs w:val="0"/>
        </w:rPr>
        <w:t>The standardized return of WBSIX on the William Blair’s website (2022) is:</w:t>
      </w:r>
    </w:p>
    <w:tbl>
      <w:tblPr>
        <w:tblStyle w:val="PlainTable1"/>
        <w:tblW w:w="0" w:type="auto"/>
        <w:jc w:val="center"/>
        <w:tblLook w:val="04A0" w:firstRow="1" w:lastRow="0" w:firstColumn="1" w:lastColumn="0" w:noHBand="0" w:noVBand="1"/>
      </w:tblPr>
      <w:tblGrid>
        <w:gridCol w:w="2196"/>
        <w:gridCol w:w="1976"/>
      </w:tblGrid>
      <w:tr w:rsidR="00FC60BA" w14:paraId="040F38B6" w14:textId="77777777" w:rsidTr="008A5633">
        <w:trPr>
          <w:cnfStyle w:val="100000000000" w:firstRow="1" w:lastRow="0" w:firstColumn="0" w:lastColumn="0" w:oddVBand="0" w:evenVBand="0" w:oddHBand="0"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96" w:type="dxa"/>
          </w:tcPr>
          <w:p w14:paraId="4927F409" w14:textId="607366B1" w:rsidR="00FC60BA" w:rsidRDefault="00FC60BA" w:rsidP="00FD5BD6">
            <w:pPr>
              <w:spacing w:line="360" w:lineRule="auto"/>
              <w:rPr>
                <w:rStyle w:val="Strong"/>
                <w:b/>
                <w:bCs/>
              </w:rPr>
            </w:pPr>
            <w:r>
              <w:rPr>
                <w:rStyle w:val="Strong"/>
                <w:b/>
                <w:bCs/>
              </w:rPr>
              <w:t>Duration</w:t>
            </w:r>
          </w:p>
        </w:tc>
        <w:tc>
          <w:tcPr>
            <w:tcW w:w="1976" w:type="dxa"/>
          </w:tcPr>
          <w:p w14:paraId="1CC9C820" w14:textId="4350ABCA" w:rsidR="00FC60BA" w:rsidRDefault="00FC60BA" w:rsidP="00FD5BD6">
            <w:pPr>
              <w:spacing w:line="360" w:lineRule="auto"/>
              <w:cnfStyle w:val="100000000000" w:firstRow="1" w:lastRow="0" w:firstColumn="0" w:lastColumn="0" w:oddVBand="0" w:evenVBand="0" w:oddHBand="0" w:evenHBand="0" w:firstRowFirstColumn="0" w:firstRowLastColumn="0" w:lastRowFirstColumn="0" w:lastRowLastColumn="0"/>
              <w:rPr>
                <w:rStyle w:val="Strong"/>
                <w:b/>
                <w:bCs/>
              </w:rPr>
            </w:pPr>
            <w:r>
              <w:rPr>
                <w:rStyle w:val="Strong"/>
                <w:b/>
                <w:bCs/>
              </w:rPr>
              <w:t>Return</w:t>
            </w:r>
          </w:p>
        </w:tc>
      </w:tr>
      <w:tr w:rsidR="00FC60BA" w14:paraId="3A80EEC2" w14:textId="77777777" w:rsidTr="008A5633">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2196" w:type="dxa"/>
          </w:tcPr>
          <w:p w14:paraId="56FF63B9" w14:textId="23579131" w:rsidR="00FC60BA" w:rsidRDefault="00FC60BA" w:rsidP="00FD5BD6">
            <w:pPr>
              <w:spacing w:line="360" w:lineRule="auto"/>
              <w:rPr>
                <w:rStyle w:val="Strong"/>
                <w:b/>
                <w:bCs/>
              </w:rPr>
            </w:pPr>
            <w:r>
              <w:rPr>
                <w:rStyle w:val="Strong"/>
                <w:b/>
                <w:bCs/>
              </w:rPr>
              <w:t>3-year</w:t>
            </w:r>
          </w:p>
        </w:tc>
        <w:tc>
          <w:tcPr>
            <w:tcW w:w="1976" w:type="dxa"/>
          </w:tcPr>
          <w:p w14:paraId="1EA1A699" w14:textId="0AA7BF91" w:rsidR="00FC60BA" w:rsidRDefault="00FC60BA" w:rsidP="00FD5BD6">
            <w:pPr>
              <w:spacing w:line="360" w:lineRule="auto"/>
              <w:cnfStyle w:val="000000100000" w:firstRow="0" w:lastRow="0" w:firstColumn="0" w:lastColumn="0" w:oddVBand="0" w:evenVBand="0" w:oddHBand="1" w:evenHBand="0" w:firstRowFirstColumn="0" w:firstRowLastColumn="0" w:lastRowFirstColumn="0" w:lastRowLastColumn="0"/>
              <w:rPr>
                <w:rStyle w:val="Strong"/>
                <w:b w:val="0"/>
                <w:bCs w:val="0"/>
              </w:rPr>
            </w:pPr>
            <w:r w:rsidRPr="00FC60BA">
              <w:rPr>
                <w:rStyle w:val="Strong"/>
                <w:b w:val="0"/>
                <w:bCs w:val="0"/>
              </w:rPr>
              <w:t>6.38</w:t>
            </w:r>
            <w:r>
              <w:rPr>
                <w:rStyle w:val="Strong"/>
                <w:b w:val="0"/>
                <w:bCs w:val="0"/>
              </w:rPr>
              <w:t>%</w:t>
            </w:r>
          </w:p>
        </w:tc>
      </w:tr>
      <w:tr w:rsidR="00FC60BA" w14:paraId="65A15E28" w14:textId="77777777" w:rsidTr="008A5633">
        <w:trPr>
          <w:trHeight w:val="415"/>
          <w:jc w:val="center"/>
        </w:trPr>
        <w:tc>
          <w:tcPr>
            <w:cnfStyle w:val="001000000000" w:firstRow="0" w:lastRow="0" w:firstColumn="1" w:lastColumn="0" w:oddVBand="0" w:evenVBand="0" w:oddHBand="0" w:evenHBand="0" w:firstRowFirstColumn="0" w:firstRowLastColumn="0" w:lastRowFirstColumn="0" w:lastRowLastColumn="0"/>
            <w:tcW w:w="2196" w:type="dxa"/>
          </w:tcPr>
          <w:p w14:paraId="7F5464A3" w14:textId="34326A8C" w:rsidR="00FC60BA" w:rsidRDefault="00FC60BA" w:rsidP="00FD5BD6">
            <w:pPr>
              <w:spacing w:line="360" w:lineRule="auto"/>
              <w:rPr>
                <w:rStyle w:val="Strong"/>
                <w:b/>
                <w:bCs/>
              </w:rPr>
            </w:pPr>
            <w:r>
              <w:rPr>
                <w:rStyle w:val="Strong"/>
                <w:b/>
                <w:bCs/>
              </w:rPr>
              <w:t>5-year</w:t>
            </w:r>
          </w:p>
        </w:tc>
        <w:tc>
          <w:tcPr>
            <w:tcW w:w="1976" w:type="dxa"/>
          </w:tcPr>
          <w:p w14:paraId="63A5AB16" w14:textId="68388D35" w:rsidR="00FC60BA" w:rsidRDefault="00FC60BA" w:rsidP="00FD5BD6">
            <w:pPr>
              <w:spacing w:line="360" w:lineRule="auto"/>
              <w:cnfStyle w:val="000000000000" w:firstRow="0" w:lastRow="0" w:firstColumn="0" w:lastColumn="0" w:oddVBand="0" w:evenVBand="0" w:oddHBand="0" w:evenHBand="0" w:firstRowFirstColumn="0" w:firstRowLastColumn="0" w:lastRowFirstColumn="0" w:lastRowLastColumn="0"/>
              <w:rPr>
                <w:rStyle w:val="Strong"/>
                <w:b w:val="0"/>
                <w:bCs w:val="0"/>
              </w:rPr>
            </w:pPr>
            <w:r w:rsidRPr="00FC60BA">
              <w:rPr>
                <w:rStyle w:val="Strong"/>
                <w:b w:val="0"/>
                <w:bCs w:val="0"/>
              </w:rPr>
              <w:t>7.48%</w:t>
            </w:r>
          </w:p>
        </w:tc>
      </w:tr>
      <w:tr w:rsidR="00FC60BA" w14:paraId="626AE05E" w14:textId="77777777" w:rsidTr="008A563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96" w:type="dxa"/>
          </w:tcPr>
          <w:p w14:paraId="7AA60556" w14:textId="013FBF65" w:rsidR="00FC60BA" w:rsidRDefault="00FC60BA" w:rsidP="00FD5BD6">
            <w:pPr>
              <w:spacing w:line="360" w:lineRule="auto"/>
              <w:rPr>
                <w:rStyle w:val="Strong"/>
                <w:b/>
                <w:bCs/>
              </w:rPr>
            </w:pPr>
            <w:r>
              <w:rPr>
                <w:rStyle w:val="Strong"/>
                <w:b/>
                <w:bCs/>
              </w:rPr>
              <w:t>10-year</w:t>
            </w:r>
          </w:p>
        </w:tc>
        <w:tc>
          <w:tcPr>
            <w:tcW w:w="1976" w:type="dxa"/>
          </w:tcPr>
          <w:p w14:paraId="4E27A828" w14:textId="4A7DE344" w:rsidR="00FC60BA" w:rsidRDefault="00FC60BA" w:rsidP="00FD5BD6">
            <w:pPr>
              <w:spacing w:line="360" w:lineRule="auto"/>
              <w:cnfStyle w:val="000000100000" w:firstRow="0" w:lastRow="0" w:firstColumn="0" w:lastColumn="0" w:oddVBand="0" w:evenVBand="0" w:oddHBand="1" w:evenHBand="0" w:firstRowFirstColumn="0" w:firstRowLastColumn="0" w:lastRowFirstColumn="0" w:lastRowLastColumn="0"/>
              <w:rPr>
                <w:rStyle w:val="Strong"/>
                <w:b w:val="0"/>
                <w:bCs w:val="0"/>
              </w:rPr>
            </w:pPr>
            <w:r w:rsidRPr="00FC60BA">
              <w:rPr>
                <w:rStyle w:val="Strong"/>
                <w:b w:val="0"/>
                <w:bCs w:val="0"/>
              </w:rPr>
              <w:t>12.11%</w:t>
            </w:r>
          </w:p>
        </w:tc>
      </w:tr>
    </w:tbl>
    <w:p w14:paraId="643366AA" w14:textId="22F685DD" w:rsidR="00847251" w:rsidRDefault="00847251" w:rsidP="00847251">
      <w:pPr>
        <w:spacing w:before="240" w:after="240" w:line="480" w:lineRule="auto"/>
        <w:jc w:val="center"/>
        <w:rPr>
          <w:rStyle w:val="Strong"/>
          <w:b w:val="0"/>
          <w:bCs w:val="0"/>
        </w:rPr>
      </w:pPr>
      <w:r>
        <w:rPr>
          <w:rStyle w:val="Strong"/>
          <w:b w:val="0"/>
          <w:bCs w:val="0"/>
        </w:rPr>
        <w:t>Table 3: The standardized return of WBSIX</w:t>
      </w:r>
    </w:p>
    <w:p w14:paraId="673403F6" w14:textId="0B304799" w:rsidR="00FD5BD6" w:rsidRDefault="00FC60BA" w:rsidP="00AB7274">
      <w:pPr>
        <w:spacing w:before="240" w:after="240" w:line="480" w:lineRule="auto"/>
        <w:rPr>
          <w:rStyle w:val="Strong"/>
          <w:b w:val="0"/>
          <w:bCs w:val="0"/>
        </w:rPr>
      </w:pPr>
      <w:r>
        <w:rPr>
          <w:rStyle w:val="Strong"/>
          <w:b w:val="0"/>
          <w:bCs w:val="0"/>
        </w:rPr>
        <w:lastRenderedPageBreak/>
        <w:t xml:space="preserve">We will use these returns as the expected return of WBSIX to calculate its Sharpe Ratio. </w:t>
      </w:r>
      <w:r w:rsidR="0018583E">
        <w:rPr>
          <w:rStyle w:val="Strong"/>
          <w:b w:val="0"/>
          <w:bCs w:val="0"/>
        </w:rPr>
        <w:t xml:space="preserve"> The </w:t>
      </w:r>
      <w:r w:rsidR="00530B93">
        <w:rPr>
          <w:rStyle w:val="Strong"/>
          <w:b w:val="0"/>
          <w:bCs w:val="0"/>
        </w:rPr>
        <w:t>risk-free</w:t>
      </w:r>
      <w:r w:rsidR="0018583E">
        <w:rPr>
          <w:rStyle w:val="Strong"/>
          <w:b w:val="0"/>
          <w:bCs w:val="0"/>
        </w:rPr>
        <w:t xml:space="preserve"> </w:t>
      </w:r>
      <w:r w:rsidR="0017514F">
        <w:rPr>
          <w:rStyle w:val="Strong"/>
          <w:b w:val="0"/>
          <w:bCs w:val="0"/>
        </w:rPr>
        <w:t>return</w:t>
      </w:r>
      <w:r w:rsidR="0018583E">
        <w:rPr>
          <w:rStyle w:val="Strong"/>
          <w:b w:val="0"/>
          <w:bCs w:val="0"/>
        </w:rPr>
        <w:t xml:space="preserve"> </w:t>
      </w:r>
      <w:r w:rsidR="00530B93">
        <w:rPr>
          <w:rStyle w:val="Strong"/>
          <w:b w:val="0"/>
          <w:bCs w:val="0"/>
        </w:rPr>
        <w:t>is the return of an investment with zero risks. I</w:t>
      </w:r>
      <w:r w:rsidR="0018583E">
        <w:rPr>
          <w:rStyle w:val="Strong"/>
          <w:b w:val="0"/>
          <w:bCs w:val="0"/>
        </w:rPr>
        <w:t xml:space="preserve">n the </w:t>
      </w:r>
      <w:r w:rsidR="0017514F">
        <w:rPr>
          <w:rStyle w:val="Strong"/>
          <w:b w:val="0"/>
          <w:bCs w:val="0"/>
        </w:rPr>
        <w:t>United States</w:t>
      </w:r>
      <w:r w:rsidR="00530B93">
        <w:rPr>
          <w:rStyle w:val="Strong"/>
          <w:b w:val="0"/>
          <w:bCs w:val="0"/>
        </w:rPr>
        <w:t>, we</w:t>
      </w:r>
      <w:r w:rsidR="0017514F">
        <w:rPr>
          <w:rStyle w:val="Strong"/>
          <w:b w:val="0"/>
          <w:bCs w:val="0"/>
        </w:rPr>
        <w:t xml:space="preserve"> can </w:t>
      </w:r>
      <w:r w:rsidR="00C7027A">
        <w:rPr>
          <w:rStyle w:val="Strong"/>
          <w:b w:val="0"/>
          <w:bCs w:val="0"/>
        </w:rPr>
        <w:t>us</w:t>
      </w:r>
      <w:r w:rsidR="0017514F">
        <w:rPr>
          <w:rStyle w:val="Strong"/>
          <w:b w:val="0"/>
          <w:bCs w:val="0"/>
        </w:rPr>
        <w:t xml:space="preserve">e the </w:t>
      </w:r>
      <w:r w:rsidR="00FD5BD6">
        <w:rPr>
          <w:rStyle w:val="Strong"/>
          <w:b w:val="0"/>
          <w:bCs w:val="0"/>
        </w:rPr>
        <w:t>yield of</w:t>
      </w:r>
      <w:r w:rsidR="0017514F">
        <w:rPr>
          <w:rStyle w:val="Strong"/>
          <w:b w:val="0"/>
          <w:bCs w:val="0"/>
        </w:rPr>
        <w:t xml:space="preserve"> treasury </w:t>
      </w:r>
      <w:r w:rsidR="00FD5BD6">
        <w:rPr>
          <w:rStyle w:val="Strong"/>
          <w:b w:val="0"/>
          <w:bCs w:val="0"/>
        </w:rPr>
        <w:t>as the risk-free rate</w:t>
      </w:r>
      <w:r w:rsidR="006211AC">
        <w:rPr>
          <w:rStyle w:val="Strong"/>
          <w:b w:val="0"/>
          <w:bCs w:val="0"/>
        </w:rPr>
        <w:t>, as of today (28</w:t>
      </w:r>
      <w:r w:rsidR="006211AC" w:rsidRPr="006211AC">
        <w:rPr>
          <w:rStyle w:val="Strong"/>
          <w:b w:val="0"/>
          <w:bCs w:val="0"/>
          <w:vertAlign w:val="superscript"/>
        </w:rPr>
        <w:t>th</w:t>
      </w:r>
      <w:r w:rsidR="006211AC">
        <w:rPr>
          <w:rStyle w:val="Strong"/>
          <w:b w:val="0"/>
          <w:bCs w:val="0"/>
        </w:rPr>
        <w:t xml:space="preserve"> </w:t>
      </w:r>
      <w:proofErr w:type="gramStart"/>
      <w:r w:rsidR="006211AC">
        <w:rPr>
          <w:rStyle w:val="Strong"/>
          <w:b w:val="0"/>
          <w:bCs w:val="0"/>
        </w:rPr>
        <w:t>Oct,</w:t>
      </w:r>
      <w:proofErr w:type="gramEnd"/>
      <w:r w:rsidR="006211AC">
        <w:rPr>
          <w:rStyle w:val="Strong"/>
          <w:b w:val="0"/>
          <w:bCs w:val="0"/>
        </w:rPr>
        <w:t xml:space="preserve"> 2022), the treasury rate reported by FRED is:</w:t>
      </w:r>
    </w:p>
    <w:tbl>
      <w:tblPr>
        <w:tblStyle w:val="PlainTable1"/>
        <w:tblW w:w="0" w:type="auto"/>
        <w:jc w:val="center"/>
        <w:tblLook w:val="04A0" w:firstRow="1" w:lastRow="0" w:firstColumn="1" w:lastColumn="0" w:noHBand="0" w:noVBand="1"/>
      </w:tblPr>
      <w:tblGrid>
        <w:gridCol w:w="2700"/>
        <w:gridCol w:w="2430"/>
      </w:tblGrid>
      <w:tr w:rsidR="00C96B36" w14:paraId="7774A49D" w14:textId="77777777" w:rsidTr="001C5A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395AC774" w14:textId="77777777" w:rsidR="00C96B36" w:rsidRDefault="00C96B36" w:rsidP="001C5A2B">
            <w:pPr>
              <w:spacing w:line="360" w:lineRule="auto"/>
              <w:rPr>
                <w:rStyle w:val="Strong"/>
                <w:b/>
                <w:bCs/>
              </w:rPr>
            </w:pPr>
            <w:r>
              <w:rPr>
                <w:rStyle w:val="Strong"/>
                <w:b/>
                <w:bCs/>
              </w:rPr>
              <w:t>Duration</w:t>
            </w:r>
          </w:p>
        </w:tc>
        <w:tc>
          <w:tcPr>
            <w:tcW w:w="2430" w:type="dxa"/>
          </w:tcPr>
          <w:p w14:paraId="6AA2827B" w14:textId="2652443D" w:rsidR="00C96B36" w:rsidRDefault="00C96B36" w:rsidP="001C5A2B">
            <w:pPr>
              <w:spacing w:line="360" w:lineRule="auto"/>
              <w:cnfStyle w:val="100000000000" w:firstRow="1" w:lastRow="0" w:firstColumn="0" w:lastColumn="0" w:oddVBand="0" w:evenVBand="0" w:oddHBand="0" w:evenHBand="0" w:firstRowFirstColumn="0" w:firstRowLastColumn="0" w:lastRowFirstColumn="0" w:lastRowLastColumn="0"/>
              <w:rPr>
                <w:rStyle w:val="Strong"/>
                <w:b/>
                <w:bCs/>
              </w:rPr>
            </w:pPr>
            <w:r>
              <w:rPr>
                <w:rStyle w:val="Strong"/>
                <w:b/>
                <w:bCs/>
              </w:rPr>
              <w:t>Treasury rate</w:t>
            </w:r>
          </w:p>
        </w:tc>
      </w:tr>
      <w:tr w:rsidR="00C96B36" w14:paraId="6A83E458" w14:textId="77777777" w:rsidTr="001C5A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50DC0582" w14:textId="77777777" w:rsidR="00C96B36" w:rsidRDefault="00C96B36" w:rsidP="001C5A2B">
            <w:pPr>
              <w:spacing w:line="360" w:lineRule="auto"/>
              <w:rPr>
                <w:rStyle w:val="Strong"/>
                <w:b/>
                <w:bCs/>
              </w:rPr>
            </w:pPr>
            <w:r>
              <w:rPr>
                <w:rStyle w:val="Strong"/>
                <w:b/>
                <w:bCs/>
              </w:rPr>
              <w:t>3-year</w:t>
            </w:r>
          </w:p>
        </w:tc>
        <w:tc>
          <w:tcPr>
            <w:tcW w:w="2430" w:type="dxa"/>
          </w:tcPr>
          <w:p w14:paraId="23CC2A6A" w14:textId="78A5D29D" w:rsidR="00C96B36" w:rsidRDefault="00030DF8" w:rsidP="001C5A2B">
            <w:pPr>
              <w:spacing w:line="360" w:lineRule="auto"/>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4.41%</w:t>
            </w:r>
          </w:p>
        </w:tc>
      </w:tr>
      <w:tr w:rsidR="00C96B36" w14:paraId="606104FA" w14:textId="77777777" w:rsidTr="001C5A2B">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60DBFAE1" w14:textId="77777777" w:rsidR="00C96B36" w:rsidRDefault="00C96B36" w:rsidP="001C5A2B">
            <w:pPr>
              <w:spacing w:line="360" w:lineRule="auto"/>
              <w:rPr>
                <w:rStyle w:val="Strong"/>
                <w:b/>
                <w:bCs/>
              </w:rPr>
            </w:pPr>
            <w:r>
              <w:rPr>
                <w:rStyle w:val="Strong"/>
                <w:b/>
                <w:bCs/>
              </w:rPr>
              <w:t>5-year</w:t>
            </w:r>
          </w:p>
        </w:tc>
        <w:tc>
          <w:tcPr>
            <w:tcW w:w="2430" w:type="dxa"/>
          </w:tcPr>
          <w:p w14:paraId="72346DB1" w14:textId="6BFEC59D" w:rsidR="00C96B36" w:rsidRDefault="003A51F0" w:rsidP="001C5A2B">
            <w:pPr>
              <w:spacing w:line="360" w:lineRule="auto"/>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4.20%</w:t>
            </w:r>
          </w:p>
        </w:tc>
      </w:tr>
      <w:tr w:rsidR="00C96B36" w14:paraId="7AC2233A" w14:textId="77777777" w:rsidTr="001C5A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0508D765" w14:textId="77777777" w:rsidR="00C96B36" w:rsidRDefault="00C96B36" w:rsidP="001C5A2B">
            <w:pPr>
              <w:spacing w:line="360" w:lineRule="auto"/>
              <w:rPr>
                <w:rStyle w:val="Strong"/>
                <w:b/>
                <w:bCs/>
              </w:rPr>
            </w:pPr>
            <w:r>
              <w:rPr>
                <w:rStyle w:val="Strong"/>
                <w:b/>
                <w:bCs/>
              </w:rPr>
              <w:t>10-year</w:t>
            </w:r>
          </w:p>
        </w:tc>
        <w:tc>
          <w:tcPr>
            <w:tcW w:w="2430" w:type="dxa"/>
          </w:tcPr>
          <w:p w14:paraId="3F3BF8BC" w14:textId="1C430204" w:rsidR="00C96B36" w:rsidRDefault="003A51F0" w:rsidP="001C5A2B">
            <w:pPr>
              <w:spacing w:line="360" w:lineRule="auto"/>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4.04%</w:t>
            </w:r>
          </w:p>
        </w:tc>
      </w:tr>
    </w:tbl>
    <w:p w14:paraId="077C44C5" w14:textId="45670073" w:rsidR="002237B3" w:rsidRDefault="002237B3" w:rsidP="002237B3">
      <w:pPr>
        <w:spacing w:before="240" w:after="240" w:line="480" w:lineRule="auto"/>
        <w:jc w:val="center"/>
        <w:rPr>
          <w:rStyle w:val="Strong"/>
          <w:b w:val="0"/>
          <w:bCs w:val="0"/>
        </w:rPr>
      </w:pPr>
      <w:r>
        <w:rPr>
          <w:rStyle w:val="Strong"/>
          <w:b w:val="0"/>
          <w:bCs w:val="0"/>
        </w:rPr>
        <w:t>Table 4: The treasury rate</w:t>
      </w:r>
    </w:p>
    <w:p w14:paraId="7B92468E" w14:textId="68E10D3B" w:rsidR="001F6476" w:rsidRDefault="009A4A28" w:rsidP="005434C0">
      <w:pPr>
        <w:spacing w:before="240" w:after="240" w:line="480" w:lineRule="auto"/>
        <w:rPr>
          <w:rStyle w:val="Strong"/>
          <w:b w:val="0"/>
          <w:bCs w:val="0"/>
        </w:rPr>
      </w:pPr>
      <w:r>
        <w:rPr>
          <w:rStyle w:val="Strong"/>
          <w:b w:val="0"/>
          <w:bCs w:val="0"/>
        </w:rPr>
        <w:t>Combining the treasury rate, expected return of WBSIX, and standard deviation of WBSIX, we get the WBSIX’s Sharpe ratio for different duration:</w:t>
      </w:r>
    </w:p>
    <w:p w14:paraId="1CC57CDB" w14:textId="77777777" w:rsidR="00314CD2" w:rsidRDefault="00314CD2" w:rsidP="005434C0">
      <w:pPr>
        <w:spacing w:before="240" w:after="240" w:line="480" w:lineRule="auto"/>
        <w:rPr>
          <w:rStyle w:val="Strong"/>
          <w:b w:val="0"/>
          <w:bCs w:val="0"/>
        </w:rPr>
      </w:pPr>
    </w:p>
    <w:tbl>
      <w:tblPr>
        <w:tblStyle w:val="PlainTable1"/>
        <w:tblW w:w="0" w:type="auto"/>
        <w:jc w:val="center"/>
        <w:tblLook w:val="04A0" w:firstRow="1" w:lastRow="0" w:firstColumn="1" w:lastColumn="0" w:noHBand="0" w:noVBand="1"/>
      </w:tblPr>
      <w:tblGrid>
        <w:gridCol w:w="2700"/>
        <w:gridCol w:w="2430"/>
      </w:tblGrid>
      <w:tr w:rsidR="001F6476" w14:paraId="10DC2B2C" w14:textId="77777777" w:rsidTr="001C5A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6290813E" w14:textId="77777777" w:rsidR="001F6476" w:rsidRDefault="001F6476" w:rsidP="001C5A2B">
            <w:pPr>
              <w:spacing w:line="360" w:lineRule="auto"/>
              <w:rPr>
                <w:rStyle w:val="Strong"/>
                <w:b/>
                <w:bCs/>
              </w:rPr>
            </w:pPr>
            <w:r>
              <w:rPr>
                <w:rStyle w:val="Strong"/>
                <w:b/>
                <w:bCs/>
              </w:rPr>
              <w:t>Duration</w:t>
            </w:r>
          </w:p>
        </w:tc>
        <w:tc>
          <w:tcPr>
            <w:tcW w:w="2430" w:type="dxa"/>
          </w:tcPr>
          <w:p w14:paraId="5CBB19DD" w14:textId="77777777" w:rsidR="001F6476" w:rsidRDefault="001F6476" w:rsidP="001C5A2B">
            <w:pPr>
              <w:spacing w:line="360" w:lineRule="auto"/>
              <w:cnfStyle w:val="100000000000" w:firstRow="1" w:lastRow="0" w:firstColumn="0" w:lastColumn="0" w:oddVBand="0" w:evenVBand="0" w:oddHBand="0" w:evenHBand="0" w:firstRowFirstColumn="0" w:firstRowLastColumn="0" w:lastRowFirstColumn="0" w:lastRowLastColumn="0"/>
              <w:rPr>
                <w:rStyle w:val="Strong"/>
                <w:b/>
                <w:bCs/>
              </w:rPr>
            </w:pPr>
            <w:r>
              <w:rPr>
                <w:rStyle w:val="Strong"/>
                <w:b/>
                <w:bCs/>
              </w:rPr>
              <w:t>Treasury rate</w:t>
            </w:r>
          </w:p>
        </w:tc>
      </w:tr>
      <w:tr w:rsidR="004D20F8" w14:paraId="10A41E8A" w14:textId="77777777" w:rsidTr="00190A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6971026F" w14:textId="77777777" w:rsidR="004D20F8" w:rsidRDefault="004D20F8" w:rsidP="004D20F8">
            <w:pPr>
              <w:spacing w:line="360" w:lineRule="auto"/>
              <w:rPr>
                <w:rStyle w:val="Strong"/>
                <w:b/>
                <w:bCs/>
              </w:rPr>
            </w:pPr>
            <w:r>
              <w:rPr>
                <w:rStyle w:val="Strong"/>
                <w:b/>
                <w:bCs/>
              </w:rPr>
              <w:t>3-year</w:t>
            </w:r>
          </w:p>
        </w:tc>
        <w:tc>
          <w:tcPr>
            <w:tcW w:w="2430" w:type="dxa"/>
            <w:vAlign w:val="bottom"/>
          </w:tcPr>
          <w:p w14:paraId="2F775928" w14:textId="7BF60B3B" w:rsidR="004D20F8" w:rsidRDefault="004D20F8" w:rsidP="004D20F8">
            <w:pPr>
              <w:spacing w:line="360" w:lineRule="auto"/>
              <w:cnfStyle w:val="000000100000" w:firstRow="0" w:lastRow="0" w:firstColumn="0" w:lastColumn="0" w:oddVBand="0" w:evenVBand="0" w:oddHBand="1" w:evenHBand="0" w:firstRowFirstColumn="0" w:firstRowLastColumn="0" w:lastRowFirstColumn="0" w:lastRowLastColumn="0"/>
              <w:rPr>
                <w:rStyle w:val="Strong"/>
                <w:b w:val="0"/>
                <w:bCs w:val="0"/>
              </w:rPr>
            </w:pPr>
            <w:r>
              <w:rPr>
                <w:rFonts w:ascii="Calibri" w:hAnsi="Calibri" w:cs="Calibri"/>
                <w:color w:val="000000"/>
                <w:sz w:val="22"/>
                <w:szCs w:val="22"/>
              </w:rPr>
              <w:t>4.846%</w:t>
            </w:r>
          </w:p>
        </w:tc>
      </w:tr>
      <w:tr w:rsidR="004D20F8" w14:paraId="391B4E50" w14:textId="77777777" w:rsidTr="00190A2A">
        <w:trPr>
          <w:jc w:val="center"/>
        </w:trPr>
        <w:tc>
          <w:tcPr>
            <w:cnfStyle w:val="001000000000" w:firstRow="0" w:lastRow="0" w:firstColumn="1" w:lastColumn="0" w:oddVBand="0" w:evenVBand="0" w:oddHBand="0" w:evenHBand="0" w:firstRowFirstColumn="0" w:firstRowLastColumn="0" w:lastRowFirstColumn="0" w:lastRowLastColumn="0"/>
            <w:tcW w:w="2700" w:type="dxa"/>
          </w:tcPr>
          <w:p w14:paraId="033440CB" w14:textId="77777777" w:rsidR="004D20F8" w:rsidRDefault="004D20F8" w:rsidP="004D20F8">
            <w:pPr>
              <w:spacing w:line="360" w:lineRule="auto"/>
              <w:rPr>
                <w:rStyle w:val="Strong"/>
                <w:b/>
                <w:bCs/>
              </w:rPr>
            </w:pPr>
            <w:r>
              <w:rPr>
                <w:rStyle w:val="Strong"/>
                <w:b/>
                <w:bCs/>
              </w:rPr>
              <w:t>5-year</w:t>
            </w:r>
          </w:p>
        </w:tc>
        <w:tc>
          <w:tcPr>
            <w:tcW w:w="2430" w:type="dxa"/>
            <w:vAlign w:val="bottom"/>
          </w:tcPr>
          <w:p w14:paraId="06A6691E" w14:textId="5D5D9334" w:rsidR="004D20F8" w:rsidRDefault="004D20F8" w:rsidP="004D20F8">
            <w:pPr>
              <w:spacing w:line="360" w:lineRule="auto"/>
              <w:cnfStyle w:val="000000000000" w:firstRow="0" w:lastRow="0" w:firstColumn="0" w:lastColumn="0" w:oddVBand="0" w:evenVBand="0" w:oddHBand="0" w:evenHBand="0" w:firstRowFirstColumn="0" w:firstRowLastColumn="0" w:lastRowFirstColumn="0" w:lastRowLastColumn="0"/>
              <w:rPr>
                <w:rStyle w:val="Strong"/>
                <w:b w:val="0"/>
                <w:bCs w:val="0"/>
              </w:rPr>
            </w:pPr>
            <w:r>
              <w:rPr>
                <w:rFonts w:ascii="Calibri" w:hAnsi="Calibri" w:cs="Calibri"/>
                <w:color w:val="000000"/>
                <w:sz w:val="22"/>
                <w:szCs w:val="22"/>
              </w:rPr>
              <w:t>11.222%</w:t>
            </w:r>
          </w:p>
        </w:tc>
      </w:tr>
      <w:tr w:rsidR="004D20F8" w14:paraId="75AE232F" w14:textId="77777777" w:rsidTr="00190A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14:paraId="67981630" w14:textId="77777777" w:rsidR="004D20F8" w:rsidRDefault="004D20F8" w:rsidP="004D20F8">
            <w:pPr>
              <w:spacing w:line="360" w:lineRule="auto"/>
              <w:rPr>
                <w:rStyle w:val="Strong"/>
                <w:b/>
                <w:bCs/>
              </w:rPr>
            </w:pPr>
            <w:r>
              <w:rPr>
                <w:rStyle w:val="Strong"/>
                <w:b/>
                <w:bCs/>
              </w:rPr>
              <w:t>10-year</w:t>
            </w:r>
          </w:p>
        </w:tc>
        <w:tc>
          <w:tcPr>
            <w:tcW w:w="2430" w:type="dxa"/>
            <w:vAlign w:val="bottom"/>
          </w:tcPr>
          <w:p w14:paraId="509816C3" w14:textId="16B74BCD" w:rsidR="004D20F8" w:rsidRDefault="004D20F8" w:rsidP="004D20F8">
            <w:pPr>
              <w:spacing w:line="360" w:lineRule="auto"/>
              <w:cnfStyle w:val="000000100000" w:firstRow="0" w:lastRow="0" w:firstColumn="0" w:lastColumn="0" w:oddVBand="0" w:evenVBand="0" w:oddHBand="1" w:evenHBand="0" w:firstRowFirstColumn="0" w:firstRowLastColumn="0" w:lastRowFirstColumn="0" w:lastRowLastColumn="0"/>
              <w:rPr>
                <w:rStyle w:val="Strong"/>
                <w:b w:val="0"/>
                <w:bCs w:val="0"/>
              </w:rPr>
            </w:pPr>
            <w:r>
              <w:rPr>
                <w:rFonts w:ascii="Calibri" w:hAnsi="Calibri" w:cs="Calibri"/>
                <w:color w:val="000000"/>
                <w:sz w:val="22"/>
                <w:szCs w:val="22"/>
              </w:rPr>
              <w:t>31.296%</w:t>
            </w:r>
          </w:p>
        </w:tc>
      </w:tr>
    </w:tbl>
    <w:p w14:paraId="7D463B6C" w14:textId="1B4BAB5C" w:rsidR="00B21EAB" w:rsidRDefault="005434C0" w:rsidP="006223BB">
      <w:pPr>
        <w:spacing w:before="240" w:after="240" w:line="480" w:lineRule="auto"/>
        <w:jc w:val="center"/>
        <w:rPr>
          <w:rStyle w:val="Strong"/>
        </w:rPr>
      </w:pPr>
      <w:r>
        <w:rPr>
          <w:rStyle w:val="Strong"/>
          <w:b w:val="0"/>
          <w:bCs w:val="0"/>
        </w:rPr>
        <w:t>Table 5: The Sharpe ratio</w:t>
      </w:r>
    </w:p>
    <w:p w14:paraId="44180DB0" w14:textId="16496004" w:rsidR="00426995" w:rsidRDefault="00426995" w:rsidP="007D08CF">
      <w:pPr>
        <w:spacing w:line="480" w:lineRule="auto"/>
        <w:rPr>
          <w:rStyle w:val="Strong"/>
        </w:rPr>
      </w:pPr>
      <w:r>
        <w:rPr>
          <w:rStyle w:val="Strong"/>
        </w:rPr>
        <w:t>4.</w:t>
      </w:r>
      <w:r w:rsidR="0043769F">
        <w:rPr>
          <w:rStyle w:val="Strong"/>
        </w:rPr>
        <w:t>6</w:t>
      </w:r>
      <w:r>
        <w:rPr>
          <w:rStyle w:val="Strong"/>
        </w:rPr>
        <w:t xml:space="preserve"> Jensen Alpha</w:t>
      </w:r>
    </w:p>
    <w:p w14:paraId="1DD1DFAE" w14:textId="5C519768" w:rsidR="00A202AA" w:rsidRDefault="009758EE" w:rsidP="00484363">
      <w:pPr>
        <w:spacing w:line="480" w:lineRule="auto"/>
        <w:ind w:firstLine="720"/>
        <w:rPr>
          <w:color w:val="222222"/>
          <w:shd w:val="clear" w:color="auto" w:fill="FFFFFF"/>
        </w:rPr>
      </w:pPr>
      <w:r w:rsidRPr="0068085C">
        <w:rPr>
          <w:rStyle w:val="Strong"/>
          <w:rFonts w:hint="eastAsia"/>
          <w:b w:val="0"/>
          <w:bCs w:val="0"/>
        </w:rPr>
        <w:t>Je</w:t>
      </w:r>
      <w:r w:rsidRPr="0068085C">
        <w:rPr>
          <w:rStyle w:val="Strong"/>
          <w:b w:val="0"/>
          <w:bCs w:val="0"/>
        </w:rPr>
        <w:t xml:space="preserve">nsen Alpha is also a risk-adjusted indicator of </w:t>
      </w:r>
      <w:r w:rsidR="0068085C" w:rsidRPr="0068085C">
        <w:rPr>
          <w:rStyle w:val="Strong"/>
          <w:b w:val="0"/>
          <w:bCs w:val="0"/>
        </w:rPr>
        <w:t>the performance of</w:t>
      </w:r>
      <w:r w:rsidR="00BE0715">
        <w:rPr>
          <w:rStyle w:val="Strong"/>
          <w:b w:val="0"/>
          <w:bCs w:val="0"/>
        </w:rPr>
        <w:t xml:space="preserve"> portfolio</w:t>
      </w:r>
      <w:r w:rsidR="0058257B">
        <w:rPr>
          <w:rStyle w:val="Strong"/>
          <w:b w:val="0"/>
          <w:bCs w:val="0"/>
        </w:rPr>
        <w:t>s</w:t>
      </w:r>
      <w:r w:rsidR="00BE0715">
        <w:rPr>
          <w:rStyle w:val="Strong"/>
          <w:b w:val="0"/>
          <w:bCs w:val="0"/>
        </w:rPr>
        <w:t>.</w:t>
      </w:r>
      <w:r w:rsidR="0058257B">
        <w:rPr>
          <w:rStyle w:val="Strong"/>
          <w:b w:val="0"/>
          <w:bCs w:val="0"/>
        </w:rPr>
        <w:t xml:space="preserve"> </w:t>
      </w:r>
      <w:r w:rsidR="0068085C" w:rsidRPr="0068085C">
        <w:rPr>
          <w:rStyle w:val="Strong"/>
          <w:b w:val="0"/>
          <w:bCs w:val="0"/>
        </w:rPr>
        <w:t xml:space="preserve"> </w:t>
      </w:r>
      <w:r w:rsidR="0058257B">
        <w:rPr>
          <w:rStyle w:val="Strong"/>
          <w:b w:val="0"/>
          <w:bCs w:val="0"/>
        </w:rPr>
        <w:t>It determines portfolio’s expected excess return over its theoretical expected return</w:t>
      </w:r>
      <w:r w:rsidR="00544749">
        <w:rPr>
          <w:rStyle w:val="Strong"/>
          <w:b w:val="0"/>
          <w:bCs w:val="0"/>
        </w:rPr>
        <w:t xml:space="preserve"> (</w:t>
      </w:r>
      <w:r w:rsidR="00544749" w:rsidRPr="00544749">
        <w:rPr>
          <w:color w:val="222222"/>
          <w:shd w:val="clear" w:color="auto" w:fill="FFFFFF"/>
        </w:rPr>
        <w:t>Jensen</w:t>
      </w:r>
      <w:r w:rsidR="00544749">
        <w:rPr>
          <w:color w:val="222222"/>
          <w:shd w:val="clear" w:color="auto" w:fill="FFFFFF"/>
        </w:rPr>
        <w:t>, 1968).</w:t>
      </w:r>
    </w:p>
    <w:p w14:paraId="412A582F" w14:textId="1DA27AA1" w:rsidR="00484363" w:rsidRDefault="00B15225" w:rsidP="007D08CF">
      <w:pPr>
        <w:spacing w:line="480" w:lineRule="auto"/>
        <w:rPr>
          <w:rStyle w:val="Strong"/>
          <w:b w:val="0"/>
          <w:bCs w:val="0"/>
        </w:rPr>
      </w:pPr>
      <w:r>
        <w:rPr>
          <w:rStyle w:val="Strong"/>
          <w:b w:val="0"/>
          <w:bCs w:val="0"/>
        </w:rPr>
        <w:t>It is calculated by the formula:</w:t>
      </w:r>
    </w:p>
    <w:p w14:paraId="7D473998" w14:textId="04C29ABF" w:rsidR="00B15225" w:rsidRPr="00491E56" w:rsidRDefault="00B15225" w:rsidP="007D08CF">
      <w:pPr>
        <w:spacing w:line="480" w:lineRule="auto"/>
        <w:rPr>
          <w:rStyle w:val="Strong"/>
          <w:b w:val="0"/>
          <w:bCs w:val="0"/>
        </w:rPr>
      </w:pPr>
      <m:oMathPara>
        <m:oMath>
          <m:r>
            <w:rPr>
              <w:rStyle w:val="Strong"/>
              <w:rFonts w:ascii="Cambria Math" w:hAnsi="Cambria Math"/>
            </w:rPr>
            <m:t>Jense</m:t>
          </m:r>
          <m:sSup>
            <m:sSupPr>
              <m:ctrlPr>
                <w:rPr>
                  <w:rStyle w:val="Strong"/>
                  <w:rFonts w:ascii="Cambria Math" w:hAnsi="Cambria Math"/>
                  <w:b w:val="0"/>
                  <w:bCs w:val="0"/>
                  <w:i/>
                </w:rPr>
              </m:ctrlPr>
            </m:sSupPr>
            <m:e>
              <m:r>
                <w:rPr>
                  <w:rStyle w:val="Strong"/>
                  <w:rFonts w:ascii="Cambria Math" w:hAnsi="Cambria Math"/>
                </w:rPr>
                <m:t>n</m:t>
              </m:r>
            </m:e>
            <m:sup>
              <m:r>
                <w:rPr>
                  <w:rStyle w:val="Strong"/>
                  <w:rFonts w:ascii="Cambria Math" w:hAnsi="Cambria Math"/>
                </w:rPr>
                <m:t>'</m:t>
              </m:r>
            </m:sup>
          </m:sSup>
          <m:r>
            <w:rPr>
              <w:rStyle w:val="Strong"/>
              <w:rFonts w:ascii="Cambria Math" w:hAnsi="Cambria Math"/>
            </w:rPr>
            <m:t xml:space="preserve">s Alpha= </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p</m:t>
              </m:r>
            </m:sub>
          </m:sSub>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f</m:t>
              </m:r>
            </m:sub>
          </m:sSub>
          <m:r>
            <w:rPr>
              <w:rStyle w:val="Strong"/>
              <w:rFonts w:ascii="Cambria Math" w:hAnsi="Cambria Math"/>
            </w:rPr>
            <m:t>+Beta*(</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m</m:t>
              </m:r>
            </m:sub>
          </m:sSub>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f</m:t>
              </m:r>
            </m:sub>
          </m:sSub>
          <m:r>
            <w:rPr>
              <w:rStyle w:val="Strong"/>
              <w:rFonts w:ascii="Cambria Math" w:hAnsi="Cambria Math"/>
            </w:rPr>
            <m:t>)</m:t>
          </m:r>
        </m:oMath>
      </m:oMathPara>
    </w:p>
    <w:p w14:paraId="38B75293" w14:textId="4C12B0A4" w:rsidR="00491E56" w:rsidRDefault="00491E56" w:rsidP="007D08CF">
      <w:pPr>
        <w:spacing w:line="480" w:lineRule="auto"/>
        <w:rPr>
          <w:rStyle w:val="Strong"/>
          <w:b w:val="0"/>
          <w:bCs w:val="0"/>
        </w:rPr>
      </w:pPr>
      <w:r>
        <w:rPr>
          <w:rStyle w:val="Strong"/>
          <w:b w:val="0"/>
          <w:bCs w:val="0"/>
        </w:rPr>
        <w:lastRenderedPageBreak/>
        <w:t xml:space="preserve">Here </w:t>
      </w:r>
      <m:oMath>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p</m:t>
            </m:r>
          </m:sub>
        </m:sSub>
      </m:oMath>
      <w:r>
        <w:rPr>
          <w:rStyle w:val="Strong"/>
          <w:b w:val="0"/>
          <w:bCs w:val="0"/>
        </w:rPr>
        <w:t xml:space="preserve"> is the portfolio return, </w:t>
      </w:r>
      <m:oMath>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f</m:t>
            </m:r>
          </m:sub>
        </m:sSub>
      </m:oMath>
      <w:r>
        <w:rPr>
          <w:rStyle w:val="Strong"/>
          <w:b w:val="0"/>
          <w:bCs w:val="0"/>
        </w:rPr>
        <w:t xml:space="preserve"> is risk free rate and </w:t>
      </w:r>
      <m:oMath>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m</m:t>
            </m:r>
          </m:sub>
        </m:sSub>
      </m:oMath>
      <w:r>
        <w:rPr>
          <w:rStyle w:val="Strong"/>
          <w:b w:val="0"/>
          <w:bCs w:val="0"/>
        </w:rPr>
        <w:t xml:space="preserve"> is expected market return</w:t>
      </w:r>
      <w:r w:rsidR="00E17800">
        <w:rPr>
          <w:rStyle w:val="Strong"/>
          <w:b w:val="0"/>
          <w:bCs w:val="0"/>
        </w:rPr>
        <w:t>.</w:t>
      </w:r>
    </w:p>
    <w:p w14:paraId="040F6E0E" w14:textId="042F9BA4" w:rsidR="00E17800" w:rsidRDefault="00E17800" w:rsidP="007D08CF">
      <w:pPr>
        <w:spacing w:line="480" w:lineRule="auto"/>
        <w:rPr>
          <w:rStyle w:val="Strong"/>
          <w:b w:val="0"/>
          <w:bCs w:val="0"/>
        </w:rPr>
      </w:pPr>
      <w:r>
        <w:rPr>
          <w:rStyle w:val="Strong"/>
          <w:b w:val="0"/>
          <w:bCs w:val="0"/>
        </w:rPr>
        <w:t xml:space="preserve">Again, we use the SPFIX to represent the total market, its </w:t>
      </w:r>
      <w:r w:rsidR="00397556">
        <w:rPr>
          <w:rStyle w:val="Strong"/>
          <w:b w:val="0"/>
          <w:bCs w:val="0"/>
        </w:rPr>
        <w:t>10-year</w:t>
      </w:r>
      <w:r>
        <w:rPr>
          <w:rStyle w:val="Strong"/>
          <w:b w:val="0"/>
          <w:bCs w:val="0"/>
        </w:rPr>
        <w:t xml:space="preserve"> return is 14.99%, so </w:t>
      </w:r>
      <m:oMath>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m</m:t>
            </m:r>
          </m:sub>
        </m:sSub>
        <m:r>
          <w:rPr>
            <w:rStyle w:val="Strong"/>
            <w:rFonts w:ascii="Cambria Math" w:hAnsi="Cambria Math"/>
          </w:rPr>
          <m:t>=14.99%.</m:t>
        </m:r>
      </m:oMath>
      <w:r w:rsidR="00090913">
        <w:rPr>
          <w:rStyle w:val="Strong"/>
          <w:b w:val="0"/>
          <w:bCs w:val="0"/>
        </w:rPr>
        <w:t xml:space="preserve"> Our Beta = </w:t>
      </w:r>
      <m:oMath>
        <m:r>
          <w:rPr>
            <w:rStyle w:val="Strong"/>
            <w:rFonts w:ascii="Cambria Math" w:hAnsi="Cambria Math"/>
          </w:rPr>
          <m:t>1.179625</m:t>
        </m:r>
      </m:oMath>
      <w:r w:rsidR="00090913">
        <w:rPr>
          <w:rStyle w:val="Strong"/>
          <w:b w:val="0"/>
          <w:bCs w:val="0"/>
        </w:rPr>
        <w:t xml:space="preserve">, </w:t>
      </w:r>
      <m:oMath>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f</m:t>
            </m:r>
          </m:sub>
        </m:sSub>
      </m:oMath>
      <w:r w:rsidR="00090913">
        <w:rPr>
          <w:rStyle w:val="Strong"/>
          <w:b w:val="0"/>
          <w:bCs w:val="0"/>
        </w:rPr>
        <w:t xml:space="preserve"> for 10-year duration is 21.962%, </w:t>
      </w:r>
      <m:oMath>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p</m:t>
            </m:r>
          </m:sub>
        </m:sSub>
        <m:r>
          <w:rPr>
            <w:rStyle w:val="Strong"/>
            <w:rFonts w:ascii="Cambria Math" w:hAnsi="Cambria Math"/>
          </w:rPr>
          <m:t>=12.11%</m:t>
        </m:r>
      </m:oMath>
    </w:p>
    <w:p w14:paraId="436773B0" w14:textId="2184126C" w:rsidR="007373BE" w:rsidRPr="00F3697A" w:rsidRDefault="00090913" w:rsidP="007D08CF">
      <w:pPr>
        <w:spacing w:line="480" w:lineRule="auto"/>
        <w:rPr>
          <w:rStyle w:val="Strong"/>
          <w:b w:val="0"/>
          <w:bCs w:val="0"/>
        </w:rPr>
      </w:pPr>
      <m:oMathPara>
        <m:oMath>
          <m:r>
            <w:rPr>
              <w:rStyle w:val="Strong"/>
              <w:rFonts w:ascii="Cambria Math" w:hAnsi="Cambria Math"/>
            </w:rPr>
            <m:t>Jense</m:t>
          </m:r>
          <m:sSup>
            <m:sSupPr>
              <m:ctrlPr>
                <w:rPr>
                  <w:rStyle w:val="Strong"/>
                  <w:rFonts w:ascii="Cambria Math" w:hAnsi="Cambria Math"/>
                  <w:b w:val="0"/>
                  <w:bCs w:val="0"/>
                  <w:i/>
                </w:rPr>
              </m:ctrlPr>
            </m:sSupPr>
            <m:e>
              <m:r>
                <w:rPr>
                  <w:rStyle w:val="Strong"/>
                  <w:rFonts w:ascii="Cambria Math" w:hAnsi="Cambria Math"/>
                </w:rPr>
                <m:t>n</m:t>
              </m:r>
            </m:e>
            <m:sup>
              <m:r>
                <w:rPr>
                  <w:rStyle w:val="Strong"/>
                  <w:rFonts w:ascii="Cambria Math" w:hAnsi="Cambria Math"/>
                </w:rPr>
                <m:t>'</m:t>
              </m:r>
            </m:sup>
          </m:sSup>
          <m:r>
            <w:rPr>
              <w:rStyle w:val="Strong"/>
              <w:rFonts w:ascii="Cambria Math" w:hAnsi="Cambria Math"/>
            </w:rPr>
            <m:t>s Alpha=12.11%-</m:t>
          </m:r>
          <m:d>
            <m:dPr>
              <m:begChr m:val="["/>
              <m:endChr m:val="]"/>
              <m:ctrlPr>
                <w:rPr>
                  <w:rStyle w:val="Strong"/>
                  <w:rFonts w:ascii="Cambria Math" w:hAnsi="Cambria Math"/>
                  <w:b w:val="0"/>
                  <w:bCs w:val="0"/>
                  <w:i/>
                </w:rPr>
              </m:ctrlPr>
            </m:dPr>
            <m:e>
              <m:r>
                <w:rPr>
                  <w:rStyle w:val="Strong"/>
                  <w:rFonts w:ascii="Cambria Math" w:hAnsi="Cambria Math"/>
                </w:rPr>
                <m:t>4.04%+1.179625*</m:t>
              </m:r>
              <m:d>
                <m:dPr>
                  <m:ctrlPr>
                    <w:rPr>
                      <w:rStyle w:val="Strong"/>
                      <w:rFonts w:ascii="Cambria Math" w:hAnsi="Cambria Math"/>
                      <w:b w:val="0"/>
                      <w:bCs w:val="0"/>
                      <w:i/>
                    </w:rPr>
                  </m:ctrlPr>
                </m:dPr>
                <m:e>
                  <m:r>
                    <w:rPr>
                      <w:rStyle w:val="Strong"/>
                      <w:rFonts w:ascii="Cambria Math" w:hAnsi="Cambria Math"/>
                    </w:rPr>
                    <m:t>14.99%-4.04%</m:t>
                  </m:r>
                </m:e>
              </m:d>
            </m:e>
          </m:d>
          <m:r>
            <w:rPr>
              <w:rStyle w:val="Strong"/>
              <w:rFonts w:ascii="Cambria Math" w:hAnsi="Cambria Math"/>
            </w:rPr>
            <m:t>=-4.8469%</m:t>
          </m:r>
        </m:oMath>
      </m:oMathPara>
    </w:p>
    <w:p w14:paraId="4EDD5E83" w14:textId="3E1DD21E" w:rsidR="00F3697A" w:rsidRPr="0068085C" w:rsidRDefault="00F3697A" w:rsidP="007D08CF">
      <w:pPr>
        <w:spacing w:line="480" w:lineRule="auto"/>
        <w:rPr>
          <w:rStyle w:val="Strong"/>
          <w:b w:val="0"/>
          <w:bCs w:val="0"/>
        </w:rPr>
      </w:pPr>
      <w:r>
        <w:rPr>
          <w:rStyle w:val="Strong"/>
          <w:b w:val="0"/>
          <w:bCs w:val="0"/>
        </w:rPr>
        <w:t>Here we get a negative Jensen Alpha, which indicates that WBSIX has not yet earned its expected return.</w:t>
      </w:r>
    </w:p>
    <w:p w14:paraId="7522645D" w14:textId="36D47516" w:rsidR="00285677" w:rsidRDefault="00285677" w:rsidP="007D08CF">
      <w:pPr>
        <w:spacing w:line="480" w:lineRule="auto"/>
        <w:rPr>
          <w:rStyle w:val="Strong"/>
        </w:rPr>
      </w:pPr>
      <w:r>
        <w:rPr>
          <w:rStyle w:val="Strong"/>
        </w:rPr>
        <w:t>4.</w:t>
      </w:r>
      <w:r w:rsidR="0043769F">
        <w:rPr>
          <w:rStyle w:val="Strong"/>
        </w:rPr>
        <w:t>7</w:t>
      </w:r>
      <w:r>
        <w:rPr>
          <w:rStyle w:val="Strong"/>
        </w:rPr>
        <w:t xml:space="preserve"> Treynor Index</w:t>
      </w:r>
    </w:p>
    <w:p w14:paraId="36F38264" w14:textId="62B833C3" w:rsidR="00E753E9" w:rsidRDefault="000C407F" w:rsidP="00A83B0E">
      <w:pPr>
        <w:spacing w:line="480" w:lineRule="auto"/>
        <w:rPr>
          <w:rStyle w:val="Strong"/>
          <w:b w:val="0"/>
          <w:bCs w:val="0"/>
        </w:rPr>
      </w:pPr>
      <w:r>
        <w:rPr>
          <w:rStyle w:val="Strong"/>
          <w:b w:val="0"/>
          <w:bCs w:val="0"/>
        </w:rPr>
        <w:t xml:space="preserve">Again, </w:t>
      </w:r>
      <w:r w:rsidRPr="000C407F">
        <w:rPr>
          <w:rStyle w:val="Strong"/>
          <w:b w:val="0"/>
          <w:bCs w:val="0"/>
        </w:rPr>
        <w:t xml:space="preserve">Treynor Index is </w:t>
      </w:r>
      <w:r>
        <w:rPr>
          <w:rStyle w:val="Strong"/>
          <w:b w:val="0"/>
          <w:bCs w:val="0"/>
        </w:rPr>
        <w:t>also a portfolio performance indictor, it is calculated by:</w:t>
      </w:r>
    </w:p>
    <w:p w14:paraId="4FA6B1BB" w14:textId="6665F641" w:rsidR="000C407F" w:rsidRPr="000C407F" w:rsidRDefault="000C407F" w:rsidP="000C407F">
      <w:pPr>
        <w:spacing w:line="480" w:lineRule="auto"/>
        <w:ind w:firstLine="720"/>
        <w:rPr>
          <w:rStyle w:val="Strong"/>
          <w:b w:val="0"/>
          <w:bCs w:val="0"/>
        </w:rPr>
      </w:pPr>
      <m:oMathPara>
        <m:oMath>
          <m:r>
            <w:rPr>
              <w:rStyle w:val="Strong"/>
              <w:rFonts w:ascii="Cambria Math" w:hAnsi="Cambria Math"/>
            </w:rPr>
            <m:t xml:space="preserve">Treynor index= </m:t>
          </m:r>
          <m:f>
            <m:fPr>
              <m:ctrlPr>
                <w:rPr>
                  <w:rStyle w:val="Strong"/>
                  <w:rFonts w:ascii="Cambria Math" w:hAnsi="Cambria Math"/>
                  <w:b w:val="0"/>
                  <w:bCs w:val="0"/>
                  <w:i/>
                </w:rPr>
              </m:ctrlPr>
            </m:fPr>
            <m:num>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p-</m:t>
                  </m:r>
                </m:sub>
              </m:sSub>
              <m:sSub>
                <m:sSubPr>
                  <m:ctrlPr>
                    <w:rPr>
                      <w:rStyle w:val="Strong"/>
                      <w:rFonts w:ascii="Cambria Math" w:hAnsi="Cambria Math"/>
                      <w:b w:val="0"/>
                      <w:bCs w:val="0"/>
                      <w:i/>
                    </w:rPr>
                  </m:ctrlPr>
                </m:sSubPr>
                <m:e>
                  <m:r>
                    <w:rPr>
                      <w:rStyle w:val="Strong"/>
                      <w:rFonts w:ascii="Cambria Math" w:hAnsi="Cambria Math"/>
                    </w:rPr>
                    <m:t>r</m:t>
                  </m:r>
                </m:e>
                <m:sub>
                  <m:r>
                    <w:rPr>
                      <w:rStyle w:val="Strong"/>
                      <w:rFonts w:ascii="Cambria Math" w:hAnsi="Cambria Math"/>
                    </w:rPr>
                    <m:t>f</m:t>
                  </m:r>
                </m:sub>
              </m:sSub>
            </m:num>
            <m:den>
              <m:r>
                <w:rPr>
                  <w:rStyle w:val="Strong"/>
                  <w:rFonts w:ascii="Cambria Math" w:hAnsi="Cambria Math"/>
                </w:rPr>
                <m:t>Beta</m:t>
              </m:r>
            </m:den>
          </m:f>
        </m:oMath>
      </m:oMathPara>
    </w:p>
    <w:p w14:paraId="13B4F1AC" w14:textId="6490D3CC" w:rsidR="000C407F" w:rsidRDefault="000C407F" w:rsidP="00A83B0E">
      <w:pPr>
        <w:spacing w:line="480" w:lineRule="auto"/>
        <w:rPr>
          <w:rStyle w:val="Strong"/>
          <w:b w:val="0"/>
          <w:bCs w:val="0"/>
        </w:rPr>
      </w:pPr>
      <w:r>
        <w:rPr>
          <w:rStyle w:val="Strong"/>
          <w:b w:val="0"/>
          <w:bCs w:val="0"/>
        </w:rPr>
        <w:t xml:space="preserve">In our case, the Treynor index is </w:t>
      </w:r>
      <m:oMath>
        <m:f>
          <m:fPr>
            <m:ctrlPr>
              <w:rPr>
                <w:rStyle w:val="Strong"/>
                <w:rFonts w:ascii="Cambria Math" w:hAnsi="Cambria Math"/>
                <w:b w:val="0"/>
                <w:bCs w:val="0"/>
                <w:i/>
              </w:rPr>
            </m:ctrlPr>
          </m:fPr>
          <m:num>
            <m:r>
              <w:rPr>
                <w:rStyle w:val="Strong"/>
                <w:rFonts w:ascii="Cambria Math" w:hAnsi="Cambria Math"/>
              </w:rPr>
              <m:t>12.11%-4.04%</m:t>
            </m:r>
          </m:num>
          <m:den>
            <m:r>
              <w:rPr>
                <w:rStyle w:val="Strong"/>
                <w:rFonts w:ascii="Cambria Math" w:hAnsi="Cambria Math"/>
              </w:rPr>
              <m:t>1.179625</m:t>
            </m:r>
          </m:den>
        </m:f>
        <m:r>
          <w:rPr>
            <w:rStyle w:val="Strong"/>
            <w:rFonts w:ascii="Cambria Math" w:hAnsi="Cambria Math"/>
          </w:rPr>
          <m:t>=6.8412%</m:t>
        </m:r>
      </m:oMath>
      <w:r w:rsidR="007A0D9E">
        <w:rPr>
          <w:rStyle w:val="Strong"/>
          <w:b w:val="0"/>
          <w:bCs w:val="0"/>
        </w:rPr>
        <w:t xml:space="preserve">. This ratio indicates that for every </w:t>
      </w:r>
      <w:r w:rsidR="00A83B0E">
        <w:rPr>
          <w:rStyle w:val="Strong"/>
          <w:b w:val="0"/>
          <w:bCs w:val="0"/>
        </w:rPr>
        <w:t>1-unit</w:t>
      </w:r>
      <w:r w:rsidR="007A0D9E">
        <w:rPr>
          <w:rStyle w:val="Strong"/>
          <w:b w:val="0"/>
          <w:bCs w:val="0"/>
        </w:rPr>
        <w:t xml:space="preserve"> risk taken by WBSIX, its excess return will be increase</w:t>
      </w:r>
      <w:r w:rsidR="000F20B6">
        <w:rPr>
          <w:rStyle w:val="Strong"/>
          <w:b w:val="0"/>
          <w:bCs w:val="0"/>
        </w:rPr>
        <w:t>d by</w:t>
      </w:r>
      <w:r w:rsidR="007A0D9E">
        <w:rPr>
          <w:rStyle w:val="Strong"/>
          <w:b w:val="0"/>
          <w:bCs w:val="0"/>
        </w:rPr>
        <w:t xml:space="preserve"> </w:t>
      </w:r>
      <w:r w:rsidR="00BB2629" w:rsidRPr="00BB2629">
        <w:rPr>
          <w:rStyle w:val="Strong"/>
          <w:b w:val="0"/>
          <w:bCs w:val="0"/>
        </w:rPr>
        <w:t>6.8412%</w:t>
      </w:r>
      <w:r w:rsidR="007A0D9E">
        <w:rPr>
          <w:rStyle w:val="Strong"/>
          <w:b w:val="0"/>
          <w:bCs w:val="0"/>
        </w:rPr>
        <w:t>.</w:t>
      </w:r>
    </w:p>
    <w:p w14:paraId="28E387BE" w14:textId="5E723C8C" w:rsidR="00A83B0E" w:rsidRDefault="00A83B0E" w:rsidP="00701BD5">
      <w:pPr>
        <w:spacing w:line="480" w:lineRule="auto"/>
        <w:rPr>
          <w:rStyle w:val="Strong"/>
          <w:b w:val="0"/>
          <w:bCs w:val="0"/>
        </w:rPr>
      </w:pPr>
    </w:p>
    <w:p w14:paraId="5F89BB85" w14:textId="41EBD667" w:rsidR="00701BD5" w:rsidRDefault="00701BD5" w:rsidP="00701BD5">
      <w:pPr>
        <w:spacing w:line="480" w:lineRule="auto"/>
        <w:rPr>
          <w:rStyle w:val="Strong"/>
          <w:b w:val="0"/>
          <w:bCs w:val="0"/>
        </w:rPr>
      </w:pPr>
    </w:p>
    <w:p w14:paraId="37B2E8E4" w14:textId="1A74D54C" w:rsidR="00FD626E" w:rsidRDefault="00701BD5" w:rsidP="00701BD5">
      <w:pPr>
        <w:spacing w:line="480" w:lineRule="auto"/>
        <w:rPr>
          <w:rStyle w:val="Strong"/>
          <w:sz w:val="28"/>
          <w:szCs w:val="28"/>
          <w:u w:val="single"/>
        </w:rPr>
      </w:pPr>
      <w:r w:rsidRPr="00FD626E">
        <w:rPr>
          <w:rStyle w:val="Strong"/>
          <w:sz w:val="28"/>
          <w:szCs w:val="28"/>
          <w:u w:val="single"/>
        </w:rPr>
        <w:t>5. Fund Characteristics</w:t>
      </w:r>
      <w:r w:rsidR="00FD626E">
        <w:rPr>
          <w:rStyle w:val="Strong"/>
          <w:sz w:val="28"/>
          <w:szCs w:val="28"/>
          <w:u w:val="single"/>
        </w:rPr>
        <w:t>:</w:t>
      </w:r>
    </w:p>
    <w:p w14:paraId="0F279784" w14:textId="0C0C43A2" w:rsidR="002E07AF" w:rsidRDefault="002E07AF" w:rsidP="00701BD5">
      <w:pPr>
        <w:spacing w:line="480" w:lineRule="auto"/>
        <w:rPr>
          <w:rStyle w:val="Strong"/>
          <w:b w:val="0"/>
          <w:bCs w:val="0"/>
        </w:rPr>
      </w:pPr>
      <w:r>
        <w:rPr>
          <w:rStyle w:val="Strong"/>
          <w:b w:val="0"/>
          <w:bCs w:val="0"/>
        </w:rPr>
        <w:t xml:space="preserve">The fund has long term investment strategies and is designed for investors aiming long term investment tenure. </w:t>
      </w:r>
      <w:r w:rsidR="0006452D" w:rsidRPr="0006452D">
        <w:rPr>
          <w:rStyle w:val="Strong"/>
          <w:b w:val="0"/>
          <w:bCs w:val="0"/>
        </w:rPr>
        <w:t xml:space="preserve">During the third quarter, the William Blair Small Cap Growth Fund (Class N shares) outperformed its benchmark, the Russell 2000 Growth index. In the third quarter, the Small Cap Growth portfolio outperformed the Russell 2000 Growth Index marginally. Stock-specific dynamics drove relative performance the most. Penumbra (Health Care), Stem (Industrials), and National Vision were among our top individual contributors (Consumer Discretionary). Penumbra creates, develops, manufactures, and sells novel products and </w:t>
      </w:r>
      <w:r w:rsidR="0006452D" w:rsidRPr="0006452D">
        <w:rPr>
          <w:rStyle w:val="Strong"/>
          <w:b w:val="0"/>
          <w:bCs w:val="0"/>
        </w:rPr>
        <w:lastRenderedPageBreak/>
        <w:t>aspiration systems for the treatment of stroke and other peripheral vascular conditions.</w:t>
      </w:r>
      <w:r w:rsidR="0006452D">
        <w:rPr>
          <w:rStyle w:val="Strong"/>
          <w:b w:val="0"/>
          <w:bCs w:val="0"/>
        </w:rPr>
        <w:t xml:space="preserve"> </w:t>
      </w:r>
      <w:r w:rsidR="00A87A92">
        <w:rPr>
          <w:rStyle w:val="Strong"/>
          <w:b w:val="0"/>
          <w:bCs w:val="0"/>
        </w:rPr>
        <w:t xml:space="preserve">William Blair has </w:t>
      </w:r>
    </w:p>
    <w:p w14:paraId="5ABB10B7" w14:textId="437BBE76" w:rsidR="006640B8" w:rsidRPr="006640B8" w:rsidRDefault="006640B8" w:rsidP="00701BD5">
      <w:pPr>
        <w:spacing w:line="480" w:lineRule="auto"/>
        <w:rPr>
          <w:rStyle w:val="Strong"/>
          <w:sz w:val="28"/>
          <w:szCs w:val="28"/>
        </w:rPr>
      </w:pPr>
      <w:r w:rsidRPr="006640B8">
        <w:rPr>
          <w:rStyle w:val="Strong"/>
          <w:sz w:val="28"/>
          <w:szCs w:val="28"/>
        </w:rPr>
        <w:t>Actual Returns</w:t>
      </w:r>
    </w:p>
    <w:p w14:paraId="0F649F57" w14:textId="0FF25D1C" w:rsidR="006640B8" w:rsidRDefault="006640B8" w:rsidP="00701BD5">
      <w:pPr>
        <w:spacing w:line="480" w:lineRule="auto"/>
      </w:pPr>
      <w:r>
        <w:rPr>
          <w:rStyle w:val="Strong"/>
          <w:b w:val="0"/>
          <w:bCs w:val="0"/>
          <w:sz w:val="28"/>
          <w:szCs w:val="28"/>
        </w:rPr>
        <w:t>1-Year, 3-Year, 5-Year Returns</w:t>
      </w:r>
      <w:r>
        <w:rPr>
          <w:rStyle w:val="Strong"/>
          <w:b w:val="0"/>
          <w:bCs w:val="0"/>
          <w:sz w:val="28"/>
          <w:szCs w:val="28"/>
        </w:rPr>
        <w:br/>
      </w:r>
      <w:r w:rsidRPr="006640B8">
        <w:rPr>
          <w:rStyle w:val="Strong"/>
          <w:b w:val="0"/>
          <w:bCs w:val="0"/>
        </w:rPr>
        <w:t>WBSIX class I shares has return</w:t>
      </w:r>
      <w:r>
        <w:rPr>
          <w:rStyle w:val="Strong"/>
          <w:b w:val="0"/>
          <w:bCs w:val="0"/>
        </w:rPr>
        <w:t xml:space="preserve"> estimated </w:t>
      </w:r>
      <w:proofErr w:type="gramStart"/>
      <w:r>
        <w:rPr>
          <w:rStyle w:val="Strong"/>
          <w:b w:val="0"/>
          <w:bCs w:val="0"/>
        </w:rPr>
        <w:t>1</w:t>
      </w:r>
      <w:r w:rsidR="00454E49">
        <w:rPr>
          <w:rStyle w:val="Strong"/>
          <w:b w:val="0"/>
          <w:bCs w:val="0"/>
        </w:rPr>
        <w:t xml:space="preserve"> year</w:t>
      </w:r>
      <w:proofErr w:type="gramEnd"/>
      <w:r w:rsidR="00454E49">
        <w:rPr>
          <w:rStyle w:val="Strong"/>
          <w:b w:val="0"/>
          <w:bCs w:val="0"/>
        </w:rPr>
        <w:t xml:space="preserve"> average return equaling</w:t>
      </w:r>
      <w:r>
        <w:rPr>
          <w:rStyle w:val="Strong"/>
          <w:b w:val="0"/>
          <w:bCs w:val="0"/>
        </w:rPr>
        <w:t xml:space="preserve"> </w:t>
      </w:r>
      <w:r w:rsidR="00454E49" w:rsidRPr="00454E49">
        <w:t>-</w:t>
      </w:r>
      <w:r w:rsidR="00454E49">
        <w:t>25</w:t>
      </w:r>
      <w:r w:rsidR="00454E49" w:rsidRPr="00454E49">
        <w:t>.</w:t>
      </w:r>
      <w:r w:rsidR="00454E49">
        <w:t>14</w:t>
      </w:r>
      <w:r w:rsidR="00454E49" w:rsidRPr="00454E49">
        <w:t>%</w:t>
      </w:r>
      <w:r w:rsidR="00454E49">
        <w:t xml:space="preserve"> and 5 year average return estimating around 9</w:t>
      </w:r>
      <w:r w:rsidR="00454E49" w:rsidRPr="00454E49">
        <w:t>.</w:t>
      </w:r>
      <w:r w:rsidR="00454E49">
        <w:t>4</w:t>
      </w:r>
      <w:r w:rsidR="00454E49" w:rsidRPr="00454E49">
        <w:t xml:space="preserve">8% </w:t>
      </w:r>
      <w:r w:rsidR="00454E49">
        <w:t>which tends to increase as the investment horizon increases to 9</w:t>
      </w:r>
      <w:r w:rsidR="00454E49" w:rsidRPr="00454E49">
        <w:t>.4</w:t>
      </w:r>
      <w:r w:rsidR="00454E49">
        <w:t>3</w:t>
      </w:r>
      <w:r w:rsidR="00454E49" w:rsidRPr="00454E49">
        <w:t xml:space="preserve">% </w:t>
      </w:r>
      <w:r w:rsidR="00454E49">
        <w:t>and as the fund has long term investment objectives it churns around 13.28</w:t>
      </w:r>
      <w:r w:rsidR="00454E49" w:rsidRPr="00454E49">
        <w:t>%</w:t>
      </w:r>
      <w:r w:rsidR="00454E49">
        <w:t xml:space="preserve"> average return for a 10 year period which compared to its benchmark performs better in all the years estimated. As RUO has an </w:t>
      </w:r>
      <w:r w:rsidR="00835190">
        <w:t xml:space="preserve">average </w:t>
      </w:r>
      <w:r w:rsidR="00454E49">
        <w:t>1</w:t>
      </w:r>
      <w:r w:rsidR="00835190">
        <w:t xml:space="preserve"> year</w:t>
      </w:r>
      <w:r w:rsidR="00454E49">
        <w:t xml:space="preserve"> estimated return around -26</w:t>
      </w:r>
      <w:r w:rsidR="00835190">
        <w:t xml:space="preserve">.02%, 3 years estimates at 5.11% and lower change in %return in </w:t>
      </w:r>
      <w:proofErr w:type="gramStart"/>
      <w:r w:rsidR="00835190">
        <w:t>5 year</w:t>
      </w:r>
      <w:proofErr w:type="gramEnd"/>
      <w:r w:rsidR="00835190">
        <w:t xml:space="preserve"> duration at 5.17% and finally the 10 year average index return around 10.15%.</w:t>
      </w:r>
    </w:p>
    <w:p w14:paraId="5FEAC713" w14:textId="4CE3FDD1" w:rsidR="008A6660" w:rsidRDefault="008A6660" w:rsidP="00701BD5">
      <w:pPr>
        <w:spacing w:line="480" w:lineRule="auto"/>
      </w:pPr>
    </w:p>
    <w:p w14:paraId="618D1390" w14:textId="7C3476F1" w:rsidR="008A6660" w:rsidRDefault="008A6660" w:rsidP="00701BD5">
      <w:pPr>
        <w:spacing w:line="480" w:lineRule="auto"/>
      </w:pPr>
    </w:p>
    <w:p w14:paraId="03C3F085" w14:textId="787D2E92" w:rsidR="008A6660" w:rsidRPr="008A6660" w:rsidRDefault="008A6660" w:rsidP="00701BD5">
      <w:pPr>
        <w:spacing w:line="480" w:lineRule="auto"/>
        <w:rPr>
          <w:rStyle w:val="Strong"/>
          <w:b w:val="0"/>
          <w:bCs w:val="0"/>
          <w:sz w:val="28"/>
          <w:szCs w:val="28"/>
          <w:u w:val="single"/>
        </w:rPr>
      </w:pPr>
      <w:r w:rsidRPr="008A6660">
        <w:rPr>
          <w:sz w:val="28"/>
          <w:szCs w:val="28"/>
          <w:u w:val="single"/>
        </w:rPr>
        <w:t>Conclusion</w:t>
      </w:r>
      <w:r>
        <w:rPr>
          <w:sz w:val="28"/>
          <w:szCs w:val="28"/>
          <w:u w:val="single"/>
        </w:rPr>
        <w:t>:</w:t>
      </w:r>
      <w:r>
        <w:rPr>
          <w:sz w:val="28"/>
          <w:szCs w:val="28"/>
          <w:u w:val="single"/>
        </w:rPr>
        <w:br/>
      </w:r>
      <w:r>
        <w:rPr>
          <w:sz w:val="28"/>
          <w:szCs w:val="28"/>
          <w:u w:val="single"/>
        </w:rPr>
        <w:br/>
      </w:r>
      <w:r w:rsidRPr="008A6660">
        <w:rPr>
          <w:sz w:val="28"/>
          <w:szCs w:val="28"/>
        </w:rPr>
        <w:t xml:space="preserve">The estimates by the fund are appropriate and the fund manages the </w:t>
      </w:r>
      <w:proofErr w:type="spellStart"/>
      <w:r w:rsidRPr="008A6660">
        <w:rPr>
          <w:sz w:val="28"/>
          <w:szCs w:val="28"/>
        </w:rPr>
        <w:t>asstes</w:t>
      </w:r>
      <w:proofErr w:type="spellEnd"/>
      <w:r w:rsidRPr="008A6660">
        <w:rPr>
          <w:sz w:val="28"/>
          <w:szCs w:val="28"/>
        </w:rPr>
        <w:t xml:space="preserve"> in their own way and has continued to do so for the past years</w:t>
      </w:r>
      <w:r>
        <w:rPr>
          <w:sz w:val="28"/>
          <w:szCs w:val="28"/>
        </w:rPr>
        <w:t xml:space="preserve"> and managed to </w:t>
      </w:r>
      <w:proofErr w:type="spellStart"/>
      <w:r>
        <w:rPr>
          <w:sz w:val="28"/>
          <w:szCs w:val="28"/>
        </w:rPr>
        <w:t>perfom</w:t>
      </w:r>
      <w:proofErr w:type="spellEnd"/>
      <w:r>
        <w:rPr>
          <w:sz w:val="28"/>
          <w:szCs w:val="28"/>
        </w:rPr>
        <w:t xml:space="preserve"> better than the index and its peers.</w:t>
      </w:r>
    </w:p>
    <w:p w14:paraId="4771469F" w14:textId="489DFA2F" w:rsidR="00FD626E" w:rsidRPr="003E6336" w:rsidRDefault="00FD626E" w:rsidP="00FD626E">
      <w:pPr>
        <w:pageBreakBefore/>
        <w:spacing w:line="480" w:lineRule="auto"/>
        <w:rPr>
          <w:rStyle w:val="Strong"/>
        </w:rPr>
      </w:pPr>
      <w:r w:rsidRPr="003E6336">
        <w:rPr>
          <w:rStyle w:val="Strong"/>
        </w:rPr>
        <w:lastRenderedPageBreak/>
        <w:t>Exhibit</w:t>
      </w:r>
      <w:r w:rsidR="006640B8">
        <w:rPr>
          <w:rStyle w:val="Strong"/>
        </w:rPr>
        <w:t xml:space="preserve"> </w:t>
      </w:r>
      <w:r w:rsidRPr="003E6336">
        <w:rPr>
          <w:rStyle w:val="Strong"/>
        </w:rPr>
        <w:t>1:</w:t>
      </w:r>
    </w:p>
    <w:p w14:paraId="5FAF2677" w14:textId="77777777" w:rsidR="00FD626E" w:rsidRPr="003E6336" w:rsidRDefault="00FD626E" w:rsidP="00FD626E">
      <w:pPr>
        <w:spacing w:line="480" w:lineRule="auto"/>
        <w:rPr>
          <w:rStyle w:val="Strong"/>
          <w:b w:val="0"/>
          <w:bCs w:val="0"/>
        </w:rPr>
      </w:pPr>
      <w:r w:rsidRPr="003E6336">
        <w:rPr>
          <w:rStyle w:val="Strong"/>
          <w:b w:val="0"/>
          <w:bCs w:val="0"/>
        </w:rPr>
        <w:t>The WBSIX Investment sectors summary (</w:t>
      </w:r>
      <w:r w:rsidRPr="003E6336">
        <w:t>William Blair, 2022)</w:t>
      </w:r>
    </w:p>
    <w:p w14:paraId="5D6381DD" w14:textId="1231CFF8" w:rsidR="00FD626E" w:rsidRDefault="00FD626E" w:rsidP="00FD626E">
      <w:pPr>
        <w:spacing w:line="480" w:lineRule="auto"/>
        <w:rPr>
          <w:rStyle w:val="Strong"/>
        </w:rPr>
      </w:pPr>
      <w:r w:rsidRPr="003E6336">
        <w:rPr>
          <w:b/>
          <w:bCs/>
          <w:noProof/>
        </w:rPr>
        <w:drawing>
          <wp:inline distT="0" distB="0" distL="0" distR="0" wp14:anchorId="4D79E4EF" wp14:editId="598B54EA">
            <wp:extent cx="3674378" cy="2764420"/>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3779" cy="2839204"/>
                    </a:xfrm>
                    <a:prstGeom prst="rect">
                      <a:avLst/>
                    </a:prstGeom>
                  </pic:spPr>
                </pic:pic>
              </a:graphicData>
            </a:graphic>
          </wp:inline>
        </w:drawing>
      </w:r>
    </w:p>
    <w:p w14:paraId="08FA4D18" w14:textId="77777777" w:rsidR="006640B8" w:rsidRDefault="006640B8" w:rsidP="00FD626E">
      <w:pPr>
        <w:spacing w:line="480" w:lineRule="auto"/>
        <w:rPr>
          <w:rStyle w:val="Strong"/>
        </w:rPr>
      </w:pPr>
    </w:p>
    <w:p w14:paraId="24798E6B" w14:textId="77777777" w:rsidR="006640B8" w:rsidRDefault="006640B8" w:rsidP="00FD626E">
      <w:pPr>
        <w:spacing w:line="480" w:lineRule="auto"/>
        <w:rPr>
          <w:rStyle w:val="Strong"/>
        </w:rPr>
      </w:pPr>
    </w:p>
    <w:p w14:paraId="1C04142B" w14:textId="056C3D55" w:rsidR="00195A84" w:rsidRDefault="00195A84" w:rsidP="00FD626E">
      <w:pPr>
        <w:spacing w:line="480" w:lineRule="auto"/>
        <w:rPr>
          <w:rStyle w:val="Strong"/>
        </w:rPr>
      </w:pPr>
      <w:r>
        <w:rPr>
          <w:rStyle w:val="Strong"/>
        </w:rPr>
        <w:t>Exhibit 2:</w:t>
      </w:r>
    </w:p>
    <w:p w14:paraId="04122F18" w14:textId="77777777" w:rsidR="006640B8" w:rsidRDefault="00195A84" w:rsidP="00FD626E">
      <w:pPr>
        <w:spacing w:line="480" w:lineRule="auto"/>
        <w:rPr>
          <w:rStyle w:val="Strong"/>
        </w:rPr>
      </w:pPr>
      <w:r>
        <w:rPr>
          <w:rStyle w:val="Strong"/>
          <w:b w:val="0"/>
          <w:bCs w:val="0"/>
        </w:rPr>
        <w:t>WBSIX Fund Factsheet and Statistics.</w:t>
      </w:r>
      <w:r>
        <w:rPr>
          <w:rStyle w:val="Strong"/>
          <w:b w:val="0"/>
          <w:bCs w:val="0"/>
        </w:rPr>
        <w:br/>
      </w:r>
      <w:r>
        <w:rPr>
          <w:b/>
          <w:bCs/>
          <w:noProof/>
        </w:rPr>
        <w:drawing>
          <wp:inline distT="0" distB="0" distL="0" distR="0" wp14:anchorId="3EC45A2A" wp14:editId="0D3D77CB">
            <wp:extent cx="3556932" cy="2814004"/>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4900" cy="2954800"/>
                    </a:xfrm>
                    <a:prstGeom prst="rect">
                      <a:avLst/>
                    </a:prstGeom>
                  </pic:spPr>
                </pic:pic>
              </a:graphicData>
            </a:graphic>
          </wp:inline>
        </w:drawing>
      </w:r>
      <w:r w:rsidR="006640B8">
        <w:rPr>
          <w:rStyle w:val="Strong"/>
          <w:b w:val="0"/>
          <w:bCs w:val="0"/>
        </w:rPr>
        <w:br/>
      </w:r>
    </w:p>
    <w:p w14:paraId="6A664184" w14:textId="608C5E80" w:rsidR="006640B8" w:rsidRPr="006640B8" w:rsidRDefault="00195A84" w:rsidP="00FD626E">
      <w:pPr>
        <w:spacing w:line="480" w:lineRule="auto"/>
        <w:rPr>
          <w:rStyle w:val="Strong"/>
          <w:b w:val="0"/>
          <w:bCs w:val="0"/>
        </w:rPr>
      </w:pPr>
      <w:r>
        <w:rPr>
          <w:rStyle w:val="Strong"/>
        </w:rPr>
        <w:lastRenderedPageBreak/>
        <w:t>Exhibit 3:</w:t>
      </w:r>
      <w:r w:rsidR="006640B8">
        <w:rPr>
          <w:rStyle w:val="Strong"/>
          <w:b w:val="0"/>
          <w:bCs w:val="0"/>
        </w:rPr>
        <w:br/>
        <w:t>WBSIX Morning Star Ratings.</w:t>
      </w:r>
      <w:r w:rsidR="006640B8">
        <w:rPr>
          <w:rStyle w:val="Strong"/>
          <w:b w:val="0"/>
          <w:bCs w:val="0"/>
        </w:rPr>
        <w:br/>
      </w:r>
      <w:r w:rsidR="006640B8">
        <w:rPr>
          <w:noProof/>
        </w:rPr>
        <w:drawing>
          <wp:inline distT="0" distB="0" distL="0" distR="0" wp14:anchorId="4963AFAE" wp14:editId="205F2916">
            <wp:extent cx="5943600" cy="12477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w14:paraId="30CF2FF5" w14:textId="77777777" w:rsidR="00195A84" w:rsidRPr="00195A84" w:rsidRDefault="00195A84" w:rsidP="00FD626E">
      <w:pPr>
        <w:spacing w:line="480" w:lineRule="auto"/>
        <w:rPr>
          <w:rStyle w:val="Strong"/>
          <w:b w:val="0"/>
          <w:bCs w:val="0"/>
        </w:rPr>
      </w:pPr>
    </w:p>
    <w:p w14:paraId="0569D086" w14:textId="77777777" w:rsidR="00FD626E" w:rsidRDefault="00FD626E" w:rsidP="00EB18B3">
      <w:pPr>
        <w:pageBreakBefore/>
        <w:spacing w:line="480" w:lineRule="auto"/>
        <w:rPr>
          <w:rStyle w:val="Strong"/>
          <w:sz w:val="28"/>
          <w:szCs w:val="28"/>
        </w:rPr>
      </w:pPr>
    </w:p>
    <w:p w14:paraId="56E4D3F2" w14:textId="7635B4E6" w:rsidR="00A440C7" w:rsidRPr="0004604B" w:rsidRDefault="00A440C7" w:rsidP="00EB18B3">
      <w:pPr>
        <w:pageBreakBefore/>
        <w:spacing w:line="480" w:lineRule="auto"/>
        <w:rPr>
          <w:rStyle w:val="Strong"/>
          <w:sz w:val="28"/>
          <w:szCs w:val="28"/>
        </w:rPr>
      </w:pPr>
      <w:r w:rsidRPr="0004604B">
        <w:rPr>
          <w:rStyle w:val="Strong"/>
          <w:sz w:val="28"/>
          <w:szCs w:val="28"/>
        </w:rPr>
        <w:lastRenderedPageBreak/>
        <w:t>Reference:</w:t>
      </w:r>
    </w:p>
    <w:p w14:paraId="1E26CAEE" w14:textId="052F2368" w:rsidR="00544749" w:rsidRPr="00544749" w:rsidRDefault="00544749" w:rsidP="00544749">
      <w:pPr>
        <w:spacing w:before="240" w:after="120"/>
        <w:ind w:firstLine="720"/>
        <w:rPr>
          <w:color w:val="222222"/>
          <w:shd w:val="clear" w:color="auto" w:fill="FFFFFF"/>
        </w:rPr>
      </w:pPr>
      <w:r w:rsidRPr="00544749">
        <w:rPr>
          <w:color w:val="222222"/>
          <w:shd w:val="clear" w:color="auto" w:fill="FFFFFF"/>
        </w:rPr>
        <w:t>Jensen, M. C. (1968). The performance of mutual funds in the period 1945-1964. </w:t>
      </w:r>
      <w:r w:rsidRPr="00544749">
        <w:rPr>
          <w:i/>
          <w:iCs/>
          <w:color w:val="222222"/>
          <w:shd w:val="clear" w:color="auto" w:fill="FFFFFF"/>
        </w:rPr>
        <w:t>The Journal of finance</w:t>
      </w:r>
      <w:r w:rsidRPr="00544749">
        <w:rPr>
          <w:color w:val="222222"/>
          <w:shd w:val="clear" w:color="auto" w:fill="FFFFFF"/>
        </w:rPr>
        <w:t>, </w:t>
      </w:r>
      <w:r w:rsidRPr="00544749">
        <w:rPr>
          <w:i/>
          <w:iCs/>
          <w:color w:val="222222"/>
          <w:shd w:val="clear" w:color="auto" w:fill="FFFFFF"/>
        </w:rPr>
        <w:t>23</w:t>
      </w:r>
      <w:r w:rsidRPr="00544749">
        <w:rPr>
          <w:color w:val="222222"/>
          <w:shd w:val="clear" w:color="auto" w:fill="FFFFFF"/>
        </w:rPr>
        <w:t>(2), 389-416.</w:t>
      </w:r>
    </w:p>
    <w:p w14:paraId="06691450" w14:textId="22F8968E" w:rsidR="006832C4" w:rsidRPr="003E6336" w:rsidRDefault="0069304C" w:rsidP="00544749">
      <w:pPr>
        <w:spacing w:before="240" w:after="120"/>
        <w:ind w:firstLine="567"/>
        <w:rPr>
          <w:color w:val="222222"/>
          <w:shd w:val="clear" w:color="auto" w:fill="FFFFFF"/>
        </w:rPr>
      </w:pPr>
      <w:r w:rsidRPr="003E6336">
        <w:rPr>
          <w:color w:val="222222"/>
          <w:shd w:val="clear" w:color="auto" w:fill="FFFFFF"/>
        </w:rPr>
        <w:t xml:space="preserve">M </w:t>
      </w:r>
      <w:proofErr w:type="spellStart"/>
      <w:r w:rsidRPr="003E6336">
        <w:rPr>
          <w:color w:val="222222"/>
          <w:shd w:val="clear" w:color="auto" w:fill="FFFFFF"/>
        </w:rPr>
        <w:t>Ongaki</w:t>
      </w:r>
      <w:proofErr w:type="spellEnd"/>
      <w:r w:rsidRPr="003E6336">
        <w:rPr>
          <w:color w:val="222222"/>
          <w:shd w:val="clear" w:color="auto" w:fill="FFFFFF"/>
        </w:rPr>
        <w:t xml:space="preserve">, J. (2021). Do fund size, style, and rating explain </w:t>
      </w:r>
      <w:proofErr w:type="gramStart"/>
      <w:r w:rsidRPr="003E6336">
        <w:rPr>
          <w:color w:val="222222"/>
          <w:shd w:val="clear" w:color="auto" w:fill="FFFFFF"/>
        </w:rPr>
        <w:t>performance?.</w:t>
      </w:r>
      <w:proofErr w:type="gramEnd"/>
      <w:r w:rsidRPr="003E6336">
        <w:rPr>
          <w:color w:val="222222"/>
          <w:shd w:val="clear" w:color="auto" w:fill="FFFFFF"/>
        </w:rPr>
        <w:t> </w:t>
      </w:r>
      <w:r w:rsidRPr="003E6336">
        <w:rPr>
          <w:i/>
          <w:iCs/>
          <w:color w:val="222222"/>
          <w:shd w:val="clear" w:color="auto" w:fill="FFFFFF"/>
        </w:rPr>
        <w:t>Asia</w:t>
      </w:r>
      <w:r w:rsidR="00544749">
        <w:rPr>
          <w:i/>
          <w:iCs/>
          <w:color w:val="222222"/>
          <w:shd w:val="clear" w:color="auto" w:fill="FFFFFF"/>
        </w:rPr>
        <w:t xml:space="preserve"> </w:t>
      </w:r>
      <w:r w:rsidRPr="003E6336">
        <w:rPr>
          <w:i/>
          <w:iCs/>
          <w:color w:val="222222"/>
          <w:shd w:val="clear" w:color="auto" w:fill="FFFFFF"/>
        </w:rPr>
        <w:t xml:space="preserve">Pacific </w:t>
      </w:r>
      <w:r w:rsidR="00696FFB">
        <w:rPr>
          <w:i/>
          <w:iCs/>
          <w:color w:val="222222"/>
          <w:shd w:val="clear" w:color="auto" w:fill="FFFFFF"/>
        </w:rPr>
        <w:t xml:space="preserve">       </w:t>
      </w:r>
      <w:r w:rsidRPr="003E6336">
        <w:rPr>
          <w:i/>
          <w:iCs/>
          <w:color w:val="222222"/>
          <w:shd w:val="clear" w:color="auto" w:fill="FFFFFF"/>
        </w:rPr>
        <w:t>Management Accounting Journal</w:t>
      </w:r>
      <w:r w:rsidRPr="003E6336">
        <w:rPr>
          <w:color w:val="222222"/>
          <w:shd w:val="clear" w:color="auto" w:fill="FFFFFF"/>
        </w:rPr>
        <w:t>, </w:t>
      </w:r>
      <w:r w:rsidRPr="003E6336">
        <w:rPr>
          <w:i/>
          <w:iCs/>
          <w:color w:val="222222"/>
          <w:shd w:val="clear" w:color="auto" w:fill="FFFFFF"/>
        </w:rPr>
        <w:t>16</w:t>
      </w:r>
      <w:r w:rsidRPr="003E6336">
        <w:rPr>
          <w:color w:val="222222"/>
          <w:shd w:val="clear" w:color="auto" w:fill="FFFFFF"/>
        </w:rPr>
        <w:t>(2), 1-26.</w:t>
      </w:r>
    </w:p>
    <w:p w14:paraId="4503C961" w14:textId="125965DF" w:rsidR="008D54D6" w:rsidRPr="003E6336" w:rsidRDefault="008D54D6" w:rsidP="00BF3FD6">
      <w:pPr>
        <w:pStyle w:val="NormalWeb"/>
        <w:spacing w:before="240" w:beforeAutospacing="0" w:after="120" w:afterAutospacing="0"/>
        <w:ind w:left="567" w:hanging="567"/>
      </w:pPr>
      <w:r w:rsidRPr="003E6336">
        <w:rPr>
          <w:i/>
          <w:iCs/>
        </w:rPr>
        <w:t>Small Cap Growth Fund</w:t>
      </w:r>
      <w:r w:rsidRPr="003E6336">
        <w:t>. William Blair. (</w:t>
      </w:r>
      <w:r w:rsidR="009C09D5">
        <w:t>2022</w:t>
      </w:r>
      <w:r w:rsidRPr="003E6336">
        <w:t xml:space="preserve">). Retrieved October 28, 2022, from https://www.williamblairfunds.com/funds/individual/fundid_6/share_class_i/small_cap_growth_fund/fund_facts.fs </w:t>
      </w:r>
    </w:p>
    <w:p w14:paraId="6E9AA2AA" w14:textId="5D0CCE11" w:rsidR="009C09D5" w:rsidRDefault="009C09D5" w:rsidP="00BF3FD6">
      <w:pPr>
        <w:pStyle w:val="NormalWeb"/>
        <w:spacing w:before="240" w:beforeAutospacing="0" w:after="120" w:afterAutospacing="0"/>
        <w:ind w:left="720" w:hanging="720"/>
      </w:pPr>
      <w:r>
        <w:rPr>
          <w:i/>
          <w:iCs/>
        </w:rPr>
        <w:t>WBSIX Historical Data</w:t>
      </w:r>
      <w:r>
        <w:t xml:space="preserve">. (2022). Nasdaq. Retrieved October 28, 2022, from </w:t>
      </w:r>
      <w:hyperlink r:id="rId8" w:history="1">
        <w:r w:rsidR="0035088E" w:rsidRPr="008278A3">
          <w:rPr>
            <w:rStyle w:val="Hyperlink"/>
          </w:rPr>
          <w:t>https://www.nasdaq.com/market-activity/funds-and-etfs/wbsix/historical</w:t>
        </w:r>
      </w:hyperlink>
    </w:p>
    <w:p w14:paraId="5CEBEA38" w14:textId="2C44D1F9" w:rsidR="0035088E" w:rsidRPr="0035088E" w:rsidRDefault="0035088E" w:rsidP="00BF3FD6">
      <w:pPr>
        <w:pStyle w:val="NormalWeb"/>
        <w:spacing w:before="240" w:beforeAutospacing="0" w:after="120" w:afterAutospacing="0"/>
        <w:ind w:left="720" w:hanging="720"/>
      </w:pPr>
      <w:r w:rsidRPr="0035088E">
        <w:rPr>
          <w:color w:val="222222"/>
          <w:shd w:val="clear" w:color="auto" w:fill="FFFFFF"/>
        </w:rPr>
        <w:t xml:space="preserve">Sharpe, W. F. (1998). The </w:t>
      </w:r>
      <w:proofErr w:type="spellStart"/>
      <w:r w:rsidRPr="0035088E">
        <w:rPr>
          <w:color w:val="222222"/>
          <w:shd w:val="clear" w:color="auto" w:fill="FFFFFF"/>
        </w:rPr>
        <w:t>sharpe</w:t>
      </w:r>
      <w:proofErr w:type="spellEnd"/>
      <w:r w:rsidRPr="0035088E">
        <w:rPr>
          <w:color w:val="222222"/>
          <w:shd w:val="clear" w:color="auto" w:fill="FFFFFF"/>
        </w:rPr>
        <w:t xml:space="preserve"> ratio. </w:t>
      </w:r>
      <w:r w:rsidRPr="0035088E">
        <w:rPr>
          <w:i/>
          <w:iCs/>
          <w:color w:val="222222"/>
          <w:shd w:val="clear" w:color="auto" w:fill="FFFFFF"/>
        </w:rPr>
        <w:t>Streetwise–the Best of the Journal of Portfolio Management</w:t>
      </w:r>
      <w:r w:rsidRPr="0035088E">
        <w:rPr>
          <w:color w:val="222222"/>
          <w:shd w:val="clear" w:color="auto" w:fill="FFFFFF"/>
        </w:rPr>
        <w:t>, 169-185.</w:t>
      </w:r>
    </w:p>
    <w:p w14:paraId="107C49A5" w14:textId="62329BDA" w:rsidR="006B1627" w:rsidRDefault="006B1627" w:rsidP="006B1627">
      <w:pPr>
        <w:pStyle w:val="NormalWeb"/>
        <w:spacing w:before="240" w:beforeAutospacing="0" w:after="240" w:afterAutospacing="0"/>
        <w:ind w:left="720" w:hanging="720"/>
      </w:pPr>
      <w:r w:rsidRPr="006B1627">
        <w:rPr>
          <w:i/>
          <w:iCs/>
        </w:rPr>
        <w:t xml:space="preserve">Shelton Capital Management S&amp;P 500 Index Fund Direct Shares (SPFIX) </w:t>
      </w:r>
      <w:r>
        <w:t xml:space="preserve">(2022). Retrieved October 28, 2022, from </w:t>
      </w:r>
      <w:hyperlink r:id="rId9" w:history="1">
        <w:r w:rsidR="002E07AF" w:rsidRPr="009B4988">
          <w:rPr>
            <w:rStyle w:val="Hyperlink"/>
          </w:rPr>
          <w:t>https://finance.yahoo.com/quote/SPFIX/risk/</w:t>
        </w:r>
      </w:hyperlink>
    </w:p>
    <w:p w14:paraId="227944C8" w14:textId="14615DCF" w:rsidR="002E07AF" w:rsidRDefault="002E07AF" w:rsidP="006B1627">
      <w:pPr>
        <w:pStyle w:val="NormalWeb"/>
        <w:spacing w:before="240" w:beforeAutospacing="0" w:after="240" w:afterAutospacing="0"/>
        <w:ind w:left="720" w:hanging="720"/>
      </w:pPr>
      <w:r w:rsidRPr="002E07AF">
        <w:rPr>
          <w:i/>
          <w:iCs/>
        </w:rPr>
        <w:t>Fund facts and</w:t>
      </w:r>
      <w:r>
        <w:rPr>
          <w:i/>
          <w:iCs/>
        </w:rPr>
        <w:t xml:space="preserve"> Statistics</w:t>
      </w:r>
      <w:r w:rsidR="006640B8">
        <w:rPr>
          <w:i/>
          <w:iCs/>
        </w:rPr>
        <w:t xml:space="preserve"> and Morning Star Ratings. </w:t>
      </w:r>
      <w:r w:rsidR="006640B8">
        <w:t>Retrieved November 16 2022,</w:t>
      </w:r>
      <w:r>
        <w:br/>
        <w:t>from</w:t>
      </w:r>
      <w:r w:rsidR="0006452D">
        <w:t xml:space="preserve"> </w:t>
      </w:r>
      <w:hyperlink r:id="rId10" w:history="1">
        <w:r w:rsidR="0006452D" w:rsidRPr="009B4988">
          <w:rPr>
            <w:rStyle w:val="Hyperlink"/>
          </w:rPr>
          <w:t>https://www.williamblairfunds.com/resources/docs/funds/factsheets/2022-09-30/William-Blair-Small-Cap-Growth-Fund-Class-I-9-30-2022-Fact-Sheet.pdf</w:t>
        </w:r>
      </w:hyperlink>
    </w:p>
    <w:p w14:paraId="10861A0C" w14:textId="77777777" w:rsidR="0006452D" w:rsidRDefault="0006452D" w:rsidP="006B1627">
      <w:pPr>
        <w:pStyle w:val="NormalWeb"/>
        <w:spacing w:before="240" w:beforeAutospacing="0" w:after="240" w:afterAutospacing="0"/>
        <w:ind w:left="720" w:hanging="720"/>
      </w:pPr>
    </w:p>
    <w:p w14:paraId="696A2853" w14:textId="4698C997" w:rsidR="00977231" w:rsidRDefault="00977231" w:rsidP="00550302">
      <w:pPr>
        <w:spacing w:line="480" w:lineRule="auto"/>
        <w:rPr>
          <w:color w:val="222222"/>
          <w:shd w:val="clear" w:color="auto" w:fill="FFFFFF"/>
        </w:rPr>
      </w:pPr>
    </w:p>
    <w:p w14:paraId="6E7A83F7" w14:textId="77777777" w:rsidR="00BF3FD6" w:rsidRPr="003E6336" w:rsidRDefault="00BF3FD6" w:rsidP="00550302">
      <w:pPr>
        <w:spacing w:line="480" w:lineRule="auto"/>
        <w:rPr>
          <w:color w:val="222222"/>
          <w:shd w:val="clear" w:color="auto" w:fill="FFFFFF"/>
        </w:rPr>
      </w:pPr>
    </w:p>
    <w:sectPr w:rsidR="00BF3FD6" w:rsidRPr="003E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B42F6"/>
    <w:multiLevelType w:val="multilevel"/>
    <w:tmpl w:val="30F8145A"/>
    <w:lvl w:ilvl="0">
      <w:start w:val="1"/>
      <w:numFmt w:val="bullet"/>
      <w:lvlText w:val="●"/>
      <w:lvlJc w:val="left"/>
      <w:pPr>
        <w:ind w:left="720" w:hanging="360"/>
      </w:pPr>
      <w:rPr>
        <w:rFonts w:ascii="Arial" w:eastAsia="Arial" w:hAnsi="Arial" w:cs="Arial"/>
        <w:color w:val="39393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F23D2F"/>
    <w:multiLevelType w:val="multilevel"/>
    <w:tmpl w:val="0CEAA796"/>
    <w:lvl w:ilvl="0">
      <w:start w:val="1"/>
      <w:numFmt w:val="bullet"/>
      <w:lvlText w:val="●"/>
      <w:lvlJc w:val="left"/>
      <w:pPr>
        <w:ind w:left="720" w:hanging="360"/>
      </w:pPr>
      <w:rPr>
        <w:rFonts w:ascii="Arial" w:eastAsia="Arial" w:hAnsi="Arial" w:cs="Arial"/>
        <w:color w:val="39393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8078109">
    <w:abstractNumId w:val="1"/>
  </w:num>
  <w:num w:numId="2" w16cid:durableId="161494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95"/>
    <w:rsid w:val="00002F0E"/>
    <w:rsid w:val="00017B77"/>
    <w:rsid w:val="00030DF8"/>
    <w:rsid w:val="000363A2"/>
    <w:rsid w:val="00041583"/>
    <w:rsid w:val="00045921"/>
    <w:rsid w:val="0004604B"/>
    <w:rsid w:val="000503A3"/>
    <w:rsid w:val="00054D4B"/>
    <w:rsid w:val="00056C17"/>
    <w:rsid w:val="0006452D"/>
    <w:rsid w:val="0006795E"/>
    <w:rsid w:val="000704D4"/>
    <w:rsid w:val="00071B22"/>
    <w:rsid w:val="0007771A"/>
    <w:rsid w:val="00080125"/>
    <w:rsid w:val="00090913"/>
    <w:rsid w:val="000A634E"/>
    <w:rsid w:val="000B0E99"/>
    <w:rsid w:val="000B698F"/>
    <w:rsid w:val="000C2506"/>
    <w:rsid w:val="000C407F"/>
    <w:rsid w:val="000D4F95"/>
    <w:rsid w:val="000D6C9C"/>
    <w:rsid w:val="000F20B6"/>
    <w:rsid w:val="000F4362"/>
    <w:rsid w:val="000F5459"/>
    <w:rsid w:val="001105C3"/>
    <w:rsid w:val="001152DC"/>
    <w:rsid w:val="00143734"/>
    <w:rsid w:val="001566C5"/>
    <w:rsid w:val="0017514F"/>
    <w:rsid w:val="00177477"/>
    <w:rsid w:val="0018583E"/>
    <w:rsid w:val="00195A84"/>
    <w:rsid w:val="0019791D"/>
    <w:rsid w:val="001A1EAE"/>
    <w:rsid w:val="001D44DA"/>
    <w:rsid w:val="001F5865"/>
    <w:rsid w:val="001F6476"/>
    <w:rsid w:val="00206201"/>
    <w:rsid w:val="002069B4"/>
    <w:rsid w:val="002237B3"/>
    <w:rsid w:val="002325EF"/>
    <w:rsid w:val="00253823"/>
    <w:rsid w:val="00285677"/>
    <w:rsid w:val="002942B6"/>
    <w:rsid w:val="002948C2"/>
    <w:rsid w:val="00297318"/>
    <w:rsid w:val="002A7CFD"/>
    <w:rsid w:val="002C4C87"/>
    <w:rsid w:val="002E018D"/>
    <w:rsid w:val="002E07AF"/>
    <w:rsid w:val="0030769F"/>
    <w:rsid w:val="00311AC0"/>
    <w:rsid w:val="00314CD2"/>
    <w:rsid w:val="00326763"/>
    <w:rsid w:val="00340103"/>
    <w:rsid w:val="0035088E"/>
    <w:rsid w:val="00370D8A"/>
    <w:rsid w:val="00374A1C"/>
    <w:rsid w:val="003757B3"/>
    <w:rsid w:val="0039028F"/>
    <w:rsid w:val="00397556"/>
    <w:rsid w:val="003A1D30"/>
    <w:rsid w:val="003A51F0"/>
    <w:rsid w:val="003C35A7"/>
    <w:rsid w:val="003D5339"/>
    <w:rsid w:val="003D5968"/>
    <w:rsid w:val="003E5BD4"/>
    <w:rsid w:val="003E6336"/>
    <w:rsid w:val="003F1105"/>
    <w:rsid w:val="003F3AE6"/>
    <w:rsid w:val="004103BB"/>
    <w:rsid w:val="00415ED8"/>
    <w:rsid w:val="00420F3A"/>
    <w:rsid w:val="00421FBA"/>
    <w:rsid w:val="00426995"/>
    <w:rsid w:val="004271EF"/>
    <w:rsid w:val="0043769F"/>
    <w:rsid w:val="00454E49"/>
    <w:rsid w:val="0045721E"/>
    <w:rsid w:val="00471AAA"/>
    <w:rsid w:val="00484363"/>
    <w:rsid w:val="00491E56"/>
    <w:rsid w:val="00491EE3"/>
    <w:rsid w:val="004A7618"/>
    <w:rsid w:val="004B65DE"/>
    <w:rsid w:val="004C338B"/>
    <w:rsid w:val="004C3F5C"/>
    <w:rsid w:val="004D0D63"/>
    <w:rsid w:val="004D20F8"/>
    <w:rsid w:val="004D4D16"/>
    <w:rsid w:val="00506559"/>
    <w:rsid w:val="005148F6"/>
    <w:rsid w:val="0051582B"/>
    <w:rsid w:val="005245DF"/>
    <w:rsid w:val="005278A5"/>
    <w:rsid w:val="00530B93"/>
    <w:rsid w:val="005434C0"/>
    <w:rsid w:val="00544749"/>
    <w:rsid w:val="00550302"/>
    <w:rsid w:val="00573D8B"/>
    <w:rsid w:val="005749A3"/>
    <w:rsid w:val="0058257B"/>
    <w:rsid w:val="00585B4C"/>
    <w:rsid w:val="00585BA2"/>
    <w:rsid w:val="005A6A78"/>
    <w:rsid w:val="005C4548"/>
    <w:rsid w:val="005D3F87"/>
    <w:rsid w:val="005E3B36"/>
    <w:rsid w:val="005F22C9"/>
    <w:rsid w:val="005F620F"/>
    <w:rsid w:val="006211AC"/>
    <w:rsid w:val="00622040"/>
    <w:rsid w:val="006223BB"/>
    <w:rsid w:val="00624A90"/>
    <w:rsid w:val="00645A56"/>
    <w:rsid w:val="006572DB"/>
    <w:rsid w:val="00661932"/>
    <w:rsid w:val="006640B8"/>
    <w:rsid w:val="00665D8E"/>
    <w:rsid w:val="00675BED"/>
    <w:rsid w:val="0068085C"/>
    <w:rsid w:val="006832C4"/>
    <w:rsid w:val="00684B88"/>
    <w:rsid w:val="00685D64"/>
    <w:rsid w:val="0069304C"/>
    <w:rsid w:val="00694690"/>
    <w:rsid w:val="00696FFB"/>
    <w:rsid w:val="006A1700"/>
    <w:rsid w:val="006B1627"/>
    <w:rsid w:val="006E50D6"/>
    <w:rsid w:val="006F6217"/>
    <w:rsid w:val="006F7EB8"/>
    <w:rsid w:val="00701BD5"/>
    <w:rsid w:val="00716B4C"/>
    <w:rsid w:val="007373BE"/>
    <w:rsid w:val="007412EE"/>
    <w:rsid w:val="007418E6"/>
    <w:rsid w:val="00781C89"/>
    <w:rsid w:val="00786FA8"/>
    <w:rsid w:val="007A0D9E"/>
    <w:rsid w:val="007B3B9B"/>
    <w:rsid w:val="007B7E8B"/>
    <w:rsid w:val="007D08CF"/>
    <w:rsid w:val="007D39FE"/>
    <w:rsid w:val="007D65B5"/>
    <w:rsid w:val="007E2245"/>
    <w:rsid w:val="007E24F7"/>
    <w:rsid w:val="007F4E73"/>
    <w:rsid w:val="00805FEA"/>
    <w:rsid w:val="00813CC0"/>
    <w:rsid w:val="0083357F"/>
    <w:rsid w:val="00835190"/>
    <w:rsid w:val="008433A4"/>
    <w:rsid w:val="00843F4D"/>
    <w:rsid w:val="00846A2E"/>
    <w:rsid w:val="00846F5C"/>
    <w:rsid w:val="00847251"/>
    <w:rsid w:val="00854B33"/>
    <w:rsid w:val="00854BE2"/>
    <w:rsid w:val="0087081E"/>
    <w:rsid w:val="008802E9"/>
    <w:rsid w:val="00881E16"/>
    <w:rsid w:val="00887501"/>
    <w:rsid w:val="0089030A"/>
    <w:rsid w:val="00896919"/>
    <w:rsid w:val="008A5430"/>
    <w:rsid w:val="008A5633"/>
    <w:rsid w:val="008A6660"/>
    <w:rsid w:val="008B7D52"/>
    <w:rsid w:val="008D54D6"/>
    <w:rsid w:val="008D6B09"/>
    <w:rsid w:val="008E5E56"/>
    <w:rsid w:val="00913DEC"/>
    <w:rsid w:val="00921D4A"/>
    <w:rsid w:val="00932220"/>
    <w:rsid w:val="0093645C"/>
    <w:rsid w:val="00936F90"/>
    <w:rsid w:val="00937B87"/>
    <w:rsid w:val="00953459"/>
    <w:rsid w:val="009665EC"/>
    <w:rsid w:val="00972FD5"/>
    <w:rsid w:val="009758EE"/>
    <w:rsid w:val="00977231"/>
    <w:rsid w:val="00984129"/>
    <w:rsid w:val="009912FD"/>
    <w:rsid w:val="009A4A28"/>
    <w:rsid w:val="009A7C6D"/>
    <w:rsid w:val="009B27AE"/>
    <w:rsid w:val="009B7D6B"/>
    <w:rsid w:val="009C026C"/>
    <w:rsid w:val="009C09D5"/>
    <w:rsid w:val="009E08F9"/>
    <w:rsid w:val="009E093A"/>
    <w:rsid w:val="009F27A8"/>
    <w:rsid w:val="009F4070"/>
    <w:rsid w:val="00A04542"/>
    <w:rsid w:val="00A202AA"/>
    <w:rsid w:val="00A34AA7"/>
    <w:rsid w:val="00A34EBD"/>
    <w:rsid w:val="00A41F0B"/>
    <w:rsid w:val="00A440C7"/>
    <w:rsid w:val="00A5543A"/>
    <w:rsid w:val="00A83B0E"/>
    <w:rsid w:val="00A83F4C"/>
    <w:rsid w:val="00A85AA2"/>
    <w:rsid w:val="00A87A92"/>
    <w:rsid w:val="00AA587C"/>
    <w:rsid w:val="00AA6768"/>
    <w:rsid w:val="00AA709D"/>
    <w:rsid w:val="00AA797A"/>
    <w:rsid w:val="00AA7E22"/>
    <w:rsid w:val="00AB7274"/>
    <w:rsid w:val="00AC2C77"/>
    <w:rsid w:val="00AC3965"/>
    <w:rsid w:val="00AD32DE"/>
    <w:rsid w:val="00AE41BF"/>
    <w:rsid w:val="00AF70F3"/>
    <w:rsid w:val="00B10F74"/>
    <w:rsid w:val="00B14871"/>
    <w:rsid w:val="00B15225"/>
    <w:rsid w:val="00B1654F"/>
    <w:rsid w:val="00B21EAB"/>
    <w:rsid w:val="00B62735"/>
    <w:rsid w:val="00B70A0F"/>
    <w:rsid w:val="00B74305"/>
    <w:rsid w:val="00B7683D"/>
    <w:rsid w:val="00B807E5"/>
    <w:rsid w:val="00B822F0"/>
    <w:rsid w:val="00B96933"/>
    <w:rsid w:val="00BB0381"/>
    <w:rsid w:val="00BB2629"/>
    <w:rsid w:val="00BC6679"/>
    <w:rsid w:val="00BC6D8B"/>
    <w:rsid w:val="00BE0715"/>
    <w:rsid w:val="00BF3B5B"/>
    <w:rsid w:val="00BF3FD6"/>
    <w:rsid w:val="00BF4BE6"/>
    <w:rsid w:val="00BF4FF7"/>
    <w:rsid w:val="00BF6290"/>
    <w:rsid w:val="00C02B76"/>
    <w:rsid w:val="00C04D8D"/>
    <w:rsid w:val="00C13A0F"/>
    <w:rsid w:val="00C35252"/>
    <w:rsid w:val="00C427F3"/>
    <w:rsid w:val="00C479F8"/>
    <w:rsid w:val="00C57D41"/>
    <w:rsid w:val="00C62353"/>
    <w:rsid w:val="00C7027A"/>
    <w:rsid w:val="00C72672"/>
    <w:rsid w:val="00C81AF3"/>
    <w:rsid w:val="00C85699"/>
    <w:rsid w:val="00C87CEC"/>
    <w:rsid w:val="00C92FFB"/>
    <w:rsid w:val="00C96B36"/>
    <w:rsid w:val="00C97C46"/>
    <w:rsid w:val="00CA4DC4"/>
    <w:rsid w:val="00CA62FF"/>
    <w:rsid w:val="00CB41C1"/>
    <w:rsid w:val="00CC07D1"/>
    <w:rsid w:val="00CC1BD8"/>
    <w:rsid w:val="00CD1636"/>
    <w:rsid w:val="00CD2B88"/>
    <w:rsid w:val="00CE1461"/>
    <w:rsid w:val="00CF1BEB"/>
    <w:rsid w:val="00D02E37"/>
    <w:rsid w:val="00D03251"/>
    <w:rsid w:val="00D07B98"/>
    <w:rsid w:val="00D148CC"/>
    <w:rsid w:val="00D3577D"/>
    <w:rsid w:val="00D64811"/>
    <w:rsid w:val="00D76B3F"/>
    <w:rsid w:val="00D937B3"/>
    <w:rsid w:val="00D93C8C"/>
    <w:rsid w:val="00DC2E43"/>
    <w:rsid w:val="00DC3E60"/>
    <w:rsid w:val="00DC5E69"/>
    <w:rsid w:val="00DD2E22"/>
    <w:rsid w:val="00DE7277"/>
    <w:rsid w:val="00DF6320"/>
    <w:rsid w:val="00E12B57"/>
    <w:rsid w:val="00E17800"/>
    <w:rsid w:val="00E204D4"/>
    <w:rsid w:val="00E36E3F"/>
    <w:rsid w:val="00E373D8"/>
    <w:rsid w:val="00E455D9"/>
    <w:rsid w:val="00E45FB2"/>
    <w:rsid w:val="00E47F55"/>
    <w:rsid w:val="00E62722"/>
    <w:rsid w:val="00E656A0"/>
    <w:rsid w:val="00E679E5"/>
    <w:rsid w:val="00E753E9"/>
    <w:rsid w:val="00EB074D"/>
    <w:rsid w:val="00EB18B3"/>
    <w:rsid w:val="00EB3F06"/>
    <w:rsid w:val="00EB4658"/>
    <w:rsid w:val="00EC3874"/>
    <w:rsid w:val="00EF594F"/>
    <w:rsid w:val="00F0470F"/>
    <w:rsid w:val="00F07D95"/>
    <w:rsid w:val="00F26D6E"/>
    <w:rsid w:val="00F27A17"/>
    <w:rsid w:val="00F35E20"/>
    <w:rsid w:val="00F3697A"/>
    <w:rsid w:val="00F54535"/>
    <w:rsid w:val="00F550FD"/>
    <w:rsid w:val="00F857B1"/>
    <w:rsid w:val="00FA1316"/>
    <w:rsid w:val="00FA3E43"/>
    <w:rsid w:val="00FA6829"/>
    <w:rsid w:val="00FC076D"/>
    <w:rsid w:val="00FC60BA"/>
    <w:rsid w:val="00FD4210"/>
    <w:rsid w:val="00FD5BD6"/>
    <w:rsid w:val="00FD626E"/>
    <w:rsid w:val="00FD7846"/>
    <w:rsid w:val="00FE1150"/>
    <w:rsid w:val="00FE212A"/>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E2A9"/>
  <w15:chartTrackingRefBased/>
  <w15:docId w15:val="{CB87C280-FD86-2E4E-B239-63D14439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501"/>
    <w:rPr>
      <w:rFonts w:ascii="Times New Roman" w:eastAsia="Times New Roman" w:hAnsi="Times New Roman" w:cs="Times New Roman"/>
    </w:rPr>
  </w:style>
  <w:style w:type="paragraph" w:styleId="Heading4">
    <w:name w:val="heading 4"/>
    <w:basedOn w:val="Normal"/>
    <w:next w:val="Normal"/>
    <w:link w:val="Heading4Char"/>
    <w:uiPriority w:val="9"/>
    <w:unhideWhenUsed/>
    <w:qFormat/>
    <w:rsid w:val="009912FD"/>
    <w:pPr>
      <w:keepNext/>
      <w:keepLines/>
      <w:spacing w:before="280" w:after="80" w:line="276" w:lineRule="auto"/>
      <w:outlineLvl w:val="3"/>
    </w:pPr>
    <w:rPr>
      <w:rFonts w:ascii="Arial" w:eastAsia="Arial" w:hAnsi="Arial" w:cs="Arial"/>
      <w:color w:val="666666"/>
      <w:lang w:val="en" w:eastAsia="en-GB"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0103"/>
    <w:rPr>
      <w:b/>
      <w:bCs/>
    </w:rPr>
  </w:style>
  <w:style w:type="paragraph" w:styleId="NormalWeb">
    <w:name w:val="Normal (Web)"/>
    <w:basedOn w:val="Normal"/>
    <w:uiPriority w:val="99"/>
    <w:semiHidden/>
    <w:unhideWhenUsed/>
    <w:rsid w:val="008D54D6"/>
    <w:pPr>
      <w:spacing w:before="100" w:beforeAutospacing="1" w:after="100" w:afterAutospacing="1"/>
    </w:pPr>
  </w:style>
  <w:style w:type="table" w:styleId="TableGridLight">
    <w:name w:val="Grid Table Light"/>
    <w:basedOn w:val="TableNormal"/>
    <w:uiPriority w:val="40"/>
    <w:rsid w:val="000F54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F54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F545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0125"/>
    <w:rPr>
      <w:color w:val="808080"/>
    </w:rPr>
  </w:style>
  <w:style w:type="character" w:styleId="Hyperlink">
    <w:name w:val="Hyperlink"/>
    <w:basedOn w:val="DefaultParagraphFont"/>
    <w:uiPriority w:val="99"/>
    <w:unhideWhenUsed/>
    <w:rsid w:val="0035088E"/>
    <w:rPr>
      <w:color w:val="0563C1" w:themeColor="hyperlink"/>
      <w:u w:val="single"/>
    </w:rPr>
  </w:style>
  <w:style w:type="character" w:styleId="UnresolvedMention">
    <w:name w:val="Unresolved Mention"/>
    <w:basedOn w:val="DefaultParagraphFont"/>
    <w:uiPriority w:val="99"/>
    <w:semiHidden/>
    <w:unhideWhenUsed/>
    <w:rsid w:val="0035088E"/>
    <w:rPr>
      <w:color w:val="605E5C"/>
      <w:shd w:val="clear" w:color="auto" w:fill="E1DFDD"/>
    </w:rPr>
  </w:style>
  <w:style w:type="character" w:customStyle="1" w:styleId="Heading4Char">
    <w:name w:val="Heading 4 Char"/>
    <w:basedOn w:val="DefaultParagraphFont"/>
    <w:link w:val="Heading4"/>
    <w:uiPriority w:val="9"/>
    <w:rsid w:val="009912FD"/>
    <w:rPr>
      <w:rFonts w:ascii="Arial" w:eastAsia="Arial" w:hAnsi="Arial" w:cs="Arial"/>
      <w:color w:val="666666"/>
      <w:lang w:val="en" w:eastAsia="en-GB"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452">
      <w:bodyDiv w:val="1"/>
      <w:marLeft w:val="0"/>
      <w:marRight w:val="0"/>
      <w:marTop w:val="0"/>
      <w:marBottom w:val="0"/>
      <w:divBdr>
        <w:top w:val="none" w:sz="0" w:space="0" w:color="auto"/>
        <w:left w:val="none" w:sz="0" w:space="0" w:color="auto"/>
        <w:bottom w:val="none" w:sz="0" w:space="0" w:color="auto"/>
        <w:right w:val="none" w:sz="0" w:space="0" w:color="auto"/>
      </w:divBdr>
    </w:div>
    <w:div w:id="79714001">
      <w:bodyDiv w:val="1"/>
      <w:marLeft w:val="0"/>
      <w:marRight w:val="0"/>
      <w:marTop w:val="0"/>
      <w:marBottom w:val="0"/>
      <w:divBdr>
        <w:top w:val="none" w:sz="0" w:space="0" w:color="auto"/>
        <w:left w:val="none" w:sz="0" w:space="0" w:color="auto"/>
        <w:bottom w:val="none" w:sz="0" w:space="0" w:color="auto"/>
        <w:right w:val="none" w:sz="0" w:space="0" w:color="auto"/>
      </w:divBdr>
    </w:div>
    <w:div w:id="89082002">
      <w:bodyDiv w:val="1"/>
      <w:marLeft w:val="0"/>
      <w:marRight w:val="0"/>
      <w:marTop w:val="0"/>
      <w:marBottom w:val="0"/>
      <w:divBdr>
        <w:top w:val="none" w:sz="0" w:space="0" w:color="auto"/>
        <w:left w:val="none" w:sz="0" w:space="0" w:color="auto"/>
        <w:bottom w:val="none" w:sz="0" w:space="0" w:color="auto"/>
        <w:right w:val="none" w:sz="0" w:space="0" w:color="auto"/>
      </w:divBdr>
      <w:divsChild>
        <w:div w:id="955406055">
          <w:marLeft w:val="0"/>
          <w:marRight w:val="0"/>
          <w:marTop w:val="0"/>
          <w:marBottom w:val="0"/>
          <w:divBdr>
            <w:top w:val="none" w:sz="0" w:space="0" w:color="auto"/>
            <w:left w:val="none" w:sz="0" w:space="0" w:color="auto"/>
            <w:bottom w:val="none" w:sz="0" w:space="0" w:color="auto"/>
            <w:right w:val="none" w:sz="0" w:space="0" w:color="auto"/>
          </w:divBdr>
        </w:div>
        <w:div w:id="1789276004">
          <w:marLeft w:val="0"/>
          <w:marRight w:val="0"/>
          <w:marTop w:val="0"/>
          <w:marBottom w:val="0"/>
          <w:divBdr>
            <w:top w:val="none" w:sz="0" w:space="0" w:color="auto"/>
            <w:left w:val="none" w:sz="0" w:space="0" w:color="auto"/>
            <w:bottom w:val="none" w:sz="0" w:space="0" w:color="auto"/>
            <w:right w:val="none" w:sz="0" w:space="0" w:color="auto"/>
          </w:divBdr>
        </w:div>
        <w:div w:id="808130472">
          <w:marLeft w:val="0"/>
          <w:marRight w:val="0"/>
          <w:marTop w:val="0"/>
          <w:marBottom w:val="0"/>
          <w:divBdr>
            <w:top w:val="none" w:sz="0" w:space="0" w:color="auto"/>
            <w:left w:val="none" w:sz="0" w:space="0" w:color="auto"/>
            <w:bottom w:val="none" w:sz="0" w:space="0" w:color="auto"/>
            <w:right w:val="none" w:sz="0" w:space="0" w:color="auto"/>
          </w:divBdr>
        </w:div>
      </w:divsChild>
    </w:div>
    <w:div w:id="466168339">
      <w:bodyDiv w:val="1"/>
      <w:marLeft w:val="0"/>
      <w:marRight w:val="0"/>
      <w:marTop w:val="0"/>
      <w:marBottom w:val="0"/>
      <w:divBdr>
        <w:top w:val="none" w:sz="0" w:space="0" w:color="auto"/>
        <w:left w:val="none" w:sz="0" w:space="0" w:color="auto"/>
        <w:bottom w:val="none" w:sz="0" w:space="0" w:color="auto"/>
        <w:right w:val="none" w:sz="0" w:space="0" w:color="auto"/>
      </w:divBdr>
    </w:div>
    <w:div w:id="783118176">
      <w:bodyDiv w:val="1"/>
      <w:marLeft w:val="0"/>
      <w:marRight w:val="0"/>
      <w:marTop w:val="0"/>
      <w:marBottom w:val="0"/>
      <w:divBdr>
        <w:top w:val="none" w:sz="0" w:space="0" w:color="auto"/>
        <w:left w:val="none" w:sz="0" w:space="0" w:color="auto"/>
        <w:bottom w:val="none" w:sz="0" w:space="0" w:color="auto"/>
        <w:right w:val="none" w:sz="0" w:space="0" w:color="auto"/>
      </w:divBdr>
    </w:div>
    <w:div w:id="1010568514">
      <w:bodyDiv w:val="1"/>
      <w:marLeft w:val="0"/>
      <w:marRight w:val="0"/>
      <w:marTop w:val="0"/>
      <w:marBottom w:val="0"/>
      <w:divBdr>
        <w:top w:val="none" w:sz="0" w:space="0" w:color="auto"/>
        <w:left w:val="none" w:sz="0" w:space="0" w:color="auto"/>
        <w:bottom w:val="none" w:sz="0" w:space="0" w:color="auto"/>
        <w:right w:val="none" w:sz="0" w:space="0" w:color="auto"/>
      </w:divBdr>
    </w:div>
    <w:div w:id="1260602631">
      <w:bodyDiv w:val="1"/>
      <w:marLeft w:val="0"/>
      <w:marRight w:val="0"/>
      <w:marTop w:val="0"/>
      <w:marBottom w:val="0"/>
      <w:divBdr>
        <w:top w:val="none" w:sz="0" w:space="0" w:color="auto"/>
        <w:left w:val="none" w:sz="0" w:space="0" w:color="auto"/>
        <w:bottom w:val="none" w:sz="0" w:space="0" w:color="auto"/>
        <w:right w:val="none" w:sz="0" w:space="0" w:color="auto"/>
      </w:divBdr>
    </w:div>
    <w:div w:id="1462260522">
      <w:bodyDiv w:val="1"/>
      <w:marLeft w:val="0"/>
      <w:marRight w:val="0"/>
      <w:marTop w:val="0"/>
      <w:marBottom w:val="0"/>
      <w:divBdr>
        <w:top w:val="none" w:sz="0" w:space="0" w:color="auto"/>
        <w:left w:val="none" w:sz="0" w:space="0" w:color="auto"/>
        <w:bottom w:val="none" w:sz="0" w:space="0" w:color="auto"/>
        <w:right w:val="none" w:sz="0" w:space="0" w:color="auto"/>
      </w:divBdr>
    </w:div>
    <w:div w:id="1552036663">
      <w:bodyDiv w:val="1"/>
      <w:marLeft w:val="0"/>
      <w:marRight w:val="0"/>
      <w:marTop w:val="0"/>
      <w:marBottom w:val="0"/>
      <w:divBdr>
        <w:top w:val="none" w:sz="0" w:space="0" w:color="auto"/>
        <w:left w:val="none" w:sz="0" w:space="0" w:color="auto"/>
        <w:bottom w:val="none" w:sz="0" w:space="0" w:color="auto"/>
        <w:right w:val="none" w:sz="0" w:space="0" w:color="auto"/>
      </w:divBdr>
      <w:divsChild>
        <w:div w:id="641039412">
          <w:marLeft w:val="0"/>
          <w:marRight w:val="0"/>
          <w:marTop w:val="0"/>
          <w:marBottom w:val="0"/>
          <w:divBdr>
            <w:top w:val="none" w:sz="0" w:space="0" w:color="auto"/>
            <w:left w:val="none" w:sz="0" w:space="0" w:color="auto"/>
            <w:bottom w:val="none" w:sz="0" w:space="0" w:color="auto"/>
            <w:right w:val="none" w:sz="0" w:space="0" w:color="auto"/>
          </w:divBdr>
        </w:div>
        <w:div w:id="127476977">
          <w:marLeft w:val="0"/>
          <w:marRight w:val="0"/>
          <w:marTop w:val="0"/>
          <w:marBottom w:val="0"/>
          <w:divBdr>
            <w:top w:val="none" w:sz="0" w:space="0" w:color="auto"/>
            <w:left w:val="none" w:sz="0" w:space="0" w:color="auto"/>
            <w:bottom w:val="none" w:sz="0" w:space="0" w:color="auto"/>
            <w:right w:val="none" w:sz="0" w:space="0" w:color="auto"/>
          </w:divBdr>
        </w:div>
        <w:div w:id="990212336">
          <w:marLeft w:val="0"/>
          <w:marRight w:val="0"/>
          <w:marTop w:val="0"/>
          <w:marBottom w:val="0"/>
          <w:divBdr>
            <w:top w:val="none" w:sz="0" w:space="0" w:color="auto"/>
            <w:left w:val="none" w:sz="0" w:space="0" w:color="auto"/>
            <w:bottom w:val="none" w:sz="0" w:space="0" w:color="auto"/>
            <w:right w:val="none" w:sz="0" w:space="0" w:color="auto"/>
          </w:divBdr>
        </w:div>
      </w:divsChild>
    </w:div>
    <w:div w:id="1824617883">
      <w:bodyDiv w:val="1"/>
      <w:marLeft w:val="0"/>
      <w:marRight w:val="0"/>
      <w:marTop w:val="0"/>
      <w:marBottom w:val="0"/>
      <w:divBdr>
        <w:top w:val="none" w:sz="0" w:space="0" w:color="auto"/>
        <w:left w:val="none" w:sz="0" w:space="0" w:color="auto"/>
        <w:bottom w:val="none" w:sz="0" w:space="0" w:color="auto"/>
        <w:right w:val="none" w:sz="0" w:space="0" w:color="auto"/>
      </w:divBdr>
    </w:div>
    <w:div w:id="1840540000">
      <w:bodyDiv w:val="1"/>
      <w:marLeft w:val="0"/>
      <w:marRight w:val="0"/>
      <w:marTop w:val="0"/>
      <w:marBottom w:val="0"/>
      <w:divBdr>
        <w:top w:val="none" w:sz="0" w:space="0" w:color="auto"/>
        <w:left w:val="none" w:sz="0" w:space="0" w:color="auto"/>
        <w:bottom w:val="none" w:sz="0" w:space="0" w:color="auto"/>
        <w:right w:val="none" w:sz="0" w:space="0" w:color="auto"/>
      </w:divBdr>
      <w:divsChild>
        <w:div w:id="1895046650">
          <w:marLeft w:val="0"/>
          <w:marRight w:val="0"/>
          <w:marTop w:val="0"/>
          <w:marBottom w:val="0"/>
          <w:divBdr>
            <w:top w:val="none" w:sz="0" w:space="0" w:color="auto"/>
            <w:left w:val="none" w:sz="0" w:space="0" w:color="auto"/>
            <w:bottom w:val="none" w:sz="0" w:space="0" w:color="auto"/>
            <w:right w:val="none" w:sz="0" w:space="0" w:color="auto"/>
          </w:divBdr>
        </w:div>
        <w:div w:id="575556439">
          <w:marLeft w:val="0"/>
          <w:marRight w:val="0"/>
          <w:marTop w:val="0"/>
          <w:marBottom w:val="0"/>
          <w:divBdr>
            <w:top w:val="none" w:sz="0" w:space="0" w:color="auto"/>
            <w:left w:val="none" w:sz="0" w:space="0" w:color="auto"/>
            <w:bottom w:val="none" w:sz="0" w:space="0" w:color="auto"/>
            <w:right w:val="none" w:sz="0" w:space="0" w:color="auto"/>
          </w:divBdr>
        </w:div>
        <w:div w:id="1888292431">
          <w:marLeft w:val="0"/>
          <w:marRight w:val="0"/>
          <w:marTop w:val="0"/>
          <w:marBottom w:val="0"/>
          <w:divBdr>
            <w:top w:val="none" w:sz="0" w:space="0" w:color="auto"/>
            <w:left w:val="none" w:sz="0" w:space="0" w:color="auto"/>
            <w:bottom w:val="none" w:sz="0" w:space="0" w:color="auto"/>
            <w:right w:val="none" w:sz="0" w:space="0" w:color="auto"/>
          </w:divBdr>
        </w:div>
      </w:divsChild>
    </w:div>
    <w:div w:id="1889370069">
      <w:bodyDiv w:val="1"/>
      <w:marLeft w:val="0"/>
      <w:marRight w:val="0"/>
      <w:marTop w:val="0"/>
      <w:marBottom w:val="0"/>
      <w:divBdr>
        <w:top w:val="none" w:sz="0" w:space="0" w:color="auto"/>
        <w:left w:val="none" w:sz="0" w:space="0" w:color="auto"/>
        <w:bottom w:val="none" w:sz="0" w:space="0" w:color="auto"/>
        <w:right w:val="none" w:sz="0" w:space="0" w:color="auto"/>
      </w:divBdr>
    </w:div>
    <w:div w:id="2071995058">
      <w:bodyDiv w:val="1"/>
      <w:marLeft w:val="0"/>
      <w:marRight w:val="0"/>
      <w:marTop w:val="0"/>
      <w:marBottom w:val="0"/>
      <w:divBdr>
        <w:top w:val="none" w:sz="0" w:space="0" w:color="auto"/>
        <w:left w:val="none" w:sz="0" w:space="0" w:color="auto"/>
        <w:bottom w:val="none" w:sz="0" w:space="0" w:color="auto"/>
        <w:right w:val="none" w:sz="0" w:space="0" w:color="auto"/>
      </w:divBdr>
      <w:divsChild>
        <w:div w:id="1020858422">
          <w:marLeft w:val="0"/>
          <w:marRight w:val="0"/>
          <w:marTop w:val="0"/>
          <w:marBottom w:val="0"/>
          <w:divBdr>
            <w:top w:val="none" w:sz="0" w:space="0" w:color="auto"/>
            <w:left w:val="none" w:sz="0" w:space="0" w:color="auto"/>
            <w:bottom w:val="none" w:sz="0" w:space="0" w:color="auto"/>
            <w:right w:val="none" w:sz="0" w:space="0" w:color="auto"/>
          </w:divBdr>
        </w:div>
        <w:div w:id="89471896">
          <w:marLeft w:val="0"/>
          <w:marRight w:val="0"/>
          <w:marTop w:val="0"/>
          <w:marBottom w:val="0"/>
          <w:divBdr>
            <w:top w:val="none" w:sz="0" w:space="0" w:color="auto"/>
            <w:left w:val="none" w:sz="0" w:space="0" w:color="auto"/>
            <w:bottom w:val="none" w:sz="0" w:space="0" w:color="auto"/>
            <w:right w:val="none" w:sz="0" w:space="0" w:color="auto"/>
          </w:divBdr>
        </w:div>
        <w:div w:id="1375888037">
          <w:marLeft w:val="0"/>
          <w:marRight w:val="0"/>
          <w:marTop w:val="0"/>
          <w:marBottom w:val="0"/>
          <w:divBdr>
            <w:top w:val="none" w:sz="0" w:space="0" w:color="auto"/>
            <w:left w:val="none" w:sz="0" w:space="0" w:color="auto"/>
            <w:bottom w:val="none" w:sz="0" w:space="0" w:color="auto"/>
            <w:right w:val="none" w:sz="0" w:space="0" w:color="auto"/>
          </w:divBdr>
        </w:div>
      </w:divsChild>
    </w:div>
    <w:div w:id="20817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daq.com/market-activity/funds-and-etfs/wbsix/historic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lliamblairfunds.com/resources/docs/funds/factsheets/2022-09-30/William-Blair-Small-Cap-Growth-Fund-Class-I-9-30-2022-Fact-Sheet.pdf" TargetMode="External"/><Relationship Id="rId4" Type="http://schemas.openxmlformats.org/officeDocument/2006/relationships/webSettings" Target="webSettings.xml"/><Relationship Id="rId9" Type="http://schemas.openxmlformats.org/officeDocument/2006/relationships/hyperlink" Target="https://finance.yahoo.com/quote/SPFIX/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14</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Wendi</dc:creator>
  <cp:keywords/>
  <dc:description/>
  <cp:lastModifiedBy>Omkar Chavan</cp:lastModifiedBy>
  <cp:revision>237</cp:revision>
  <dcterms:created xsi:type="dcterms:W3CDTF">2022-10-28T01:54:00Z</dcterms:created>
  <dcterms:modified xsi:type="dcterms:W3CDTF">2022-11-17T21:55:00Z</dcterms:modified>
</cp:coreProperties>
</file>