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Концепция вывода на рынок (GTM) — этап 2</w:t>
      </w:r>
    </w:p>
    <w:p>
      <w:pPr>
        <w:spacing w:after="160"/>
        <w:jc w:val="center"/>
      </w:pPr>
      <w:r>
        <w:rPr>
          <w:color w:val="666666"/>
          <w:sz w:val="20"/>
          <w:szCs w:val="20"/>
        </w:rPr>
        <w:t xml:space="preserve">Компаньон · Sber500 x DISRUPT · Проект ID 29754</w:t>
      </w:r>
    </w:p>
    <w:p>
      <w:pPr>
        <w:pStyle w:val="Heading1"/>
        <w:spacing w:after="90" w:before="220"/>
      </w:pPr>
      <w:r>
        <w:t xml:space="preserve">1. Продукт одной фразой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Мы помогаем людям на Android понять, почему их дни складываются именно так, с помощью компаньона, который сам читает пассивные данные телефона (экран, приложения, сон, шаги) и объясняет их, — в отличие от трекеров и дневников, куда всё нужно вводить руками, а на выходе только графики без объяснения.</w:t>
      </w:r>
    </w:p>
    <w:p>
      <w:pPr>
        <w:pStyle w:val="Heading1"/>
        <w:spacing w:after="90" w:before="220"/>
      </w:pPr>
      <w:r>
        <w:t xml:space="preserve">2. Аудитория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Кто (1–2 сегмента по приоритету):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Владельцы недорогих фитнес-браслетов на Android (Mi Band, Amazfit, Huawei / Honor Band), 18–40, РФ. Уже трекают себя, есть данные сна и пульса — для них продукт богаче системного Health. Боль: «дорогой трекер, а данные уходят в пустоту».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«Наблюдатели» 20–40 на Android — интересуются продуктивностью, осознанностью, сном. Хотят понять «почему», а не получать советы. Пробовали трекеры/дневники и бросили из-за ручного ввода.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Триггер: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Накопилась усталость, несколько дней подряд плохо спит или «залипает в телефоне» и не понимает почему; либо купил браслет и разочаровался, что данные ничего не объясняют. В поиск вбивает: «почему я устаю», «трекер сна android», «цифровое благополучие», «приложение анализ дня».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Где её найти: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Сообщества владельцев браслетов в TG/VK (группы Amazfit / Mi Band / Honor Band), каналы обзорщиков гаджетов.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Нишевые TG/VK-сообщества: биохакинг, продуктивность, selfdev, осознанность, цифровой детокс, сон, ЗОЖ.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Контент-площадки с техно/продуктовой аудиторией: Habr (habr.com), vc.ru, Pikabu.</w:t>
      </w:r>
    </w:p>
    <w:p>
      <w:pPr>
        <w:spacing w:after="90"/>
      </w:pPr>
      <w:r>
        <w:rPr>
          <w:b w:val="false"/>
          <w:bCs w:val="false"/>
          <w:i/>
          <w:iCs/>
          <w:sz w:val="20"/>
          <w:szCs w:val="20"/>
        </w:rPr>
        <w:t xml:space="preserve">Конкретные ссылки на чаты подбираются под закупку; главный критерий отбора канала — похож ли его трафик на наше тёплое ядро (D7 ≥ 40%).</w:t>
      </w:r>
    </w:p>
    <w:p>
      <w:pPr>
        <w:pStyle w:val="Heading1"/>
        <w:spacing w:after="90" w:before="220"/>
      </w:pPr>
      <w:r>
        <w:t xml:space="preserve">3. План по метрикам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2000"/>
        <w:gridCol w:w="3300"/>
      </w:tblGrid>
      <w:tr>
        <w:trPr>
          <w:tblHeader/>
        </w:trPr>
        <w:tc>
          <w:tcPr>
            <w:tcW w:type="dxa" w:w="23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4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20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Цель к концу этапа 2</w:t>
            </w:r>
          </w:p>
        </w:tc>
        <w:tc>
          <w:tcPr>
            <w:tcW w:type="dxa" w:w="33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Что для этого сделаем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DAU — уникальные пользователи за день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≈30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≈150–300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Таргет в fit-пулы (носимые / биохакинг / продуктивность) + 2–3 микро-инфлюенсера + RuStore-листинг + реферальная петля. Лить только в каналы с D7 ≥ 40%.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Запросов к модели на одного DAU в день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≈13 (LLM-ядро ≈5)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≈18–20 (LLM-ядро ≥10)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Глубже вовлечённость: insight / follow-up / «Хочу ещё». Главный драйвер — запуск чата с Компаньоном.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90" w:before="220"/>
      </w:pPr>
      <w:r>
        <w:t xml:space="preserve">4. Каналы продвижения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Предусловие — RuStore-листинг: убирает трение установки sideload-APK (Play Protect, недоверие), обязателен до любой платной закупки.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300"/>
      </w:tblGrid>
      <w:tr>
        <w:trPr>
          <w:tblHeader/>
        </w:trPr>
        <w:tc>
          <w:tcPr>
            <w:tcW w:type="dxa" w:w="23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Канал (где искать пользователей)</w:t>
            </w:r>
          </w:p>
        </w:tc>
        <w:tc>
          <w:tcPr>
            <w:tcW w:type="dxa" w:w="44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Что сделаем и что ожидаем</w:t>
            </w:r>
          </w:p>
        </w:tc>
        <w:tc>
          <w:tcPr>
            <w:tcW w:type="dxa" w:w="23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Откажемся, если…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Нишевые сообщества носимых + продуктивности (TG/VK) — бесплатный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Зайдём по-человечески в ≈5 сообществ: сначала инсайт/разбор дня, потом ссылка. Если так — за 2 недели ≈50–100 установок с D7 ближе к тёплым, потому что здесь пересекаются Android + уже трекают + есть данные сна/пульса.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D7 источника &lt; ≈40% или &lt; 20 установок за 2 недели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Контент build-in-public на Habr / vc.ru — бесплатный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техно/продуктовый пост с трекшн-нарративом (#1 на батчкемпе Sber500, D7 76% на тёплых когортах). Ожидаем установки + кредибилити у техничной Android-аудитории («наблюдатели»).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30 переходов на лендинг с поста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Микро-инфлюенсеры ниши 10–50k (продуктивность / биохакинг / обзоры гаджетов) — платный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интеграции с брифом «показать разбор дня» (инсайт-реврил, не «скачай трекер»). Ожидаем качественный трафик ближе к 76% D7.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D7 от инфлюенсера &lt; ≈40% или CPI не окупается качеством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90" w:before="220"/>
      </w:pPr>
      <w:r>
        <w:t xml:space="preserve">Подробный план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Атрибуция и правило отсечения: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Каждый источник — своя метка (UTM / промо-ссылка), меряем D7 по источнику.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Канал масштабируем только при D7 ≥ ≈40%. Ниже — холодный паттерн (батч 02.10 дал 19% D7), режем быстро. Бенчмарк: тёплое ядро = 76%. CPI не смотрим в отрыве от D7.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Таргетинг (платные каналы):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Только Android, гео РФ, 18–40; исключать уже установивших; интерес &gt; широкий охват (широкое = 19% D7, доказано).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Инструменты: VK Ads (оптимизация на установки, интересы здоровье/саморазвитие/носимые, lookalike на тёплое ядро), Яндекс Директ / РСЯ + Яндекс Аудитории, прямые интеграции в тематических TG-каналах.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Месседж и креатив: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Рекламируем инсайт, а не «ещё один трекер»: хук «вот почему вчера был тяжёлый день».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Наблюдение, не совет (прескриптивный тон = отток). Ноль ручного ввода. Приватность: «данные только у тебя».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Экономика (справочно):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 Android CPI ориентир ~50–150₽; обслуживание LLM ~1₽ на DAU в день — не ограничитель на этих масштабах.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План по стадиям: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Стадия 1 (без бюджета): RuStore-листинг + 1 контент-пост + 2–3 захода в сообщества + реферальная петля — добор к капу 100 тёплыми.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Стадия 2 (с бюджетом): лить в те же fit-пулы + lookalike + микро-инфлюенсеры, никакого слепого широкого охвата. Оружие ранжирования — сильный ретеншн (D7 76% на тёплых) + глубина вовлечённости (Calls/DAU).</w:t>
      </w:r>
    </w:p>
    <w:p>
      <w:pPr>
        <w:pStyle w:val="Heading1"/>
        <w:spacing w:after="90" w:before="220"/>
      </w:pPr>
      <w:r>
        <w:t xml:space="preserve">SEO и органический поиск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 итогам SEO-аудита (keys.so): эмоциональные формулировки спроса почти не ищут — спрос лежит в смежных запросах. Органику строим под них.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RuStore-листинг — ход №1 по видимости: rustore.ru в топ-10 Google по 51 из 72 запросов, то есть карточка даёт показы раньше, чем проиндексируется сайт. Конкуренты (Welltory, StayFree, Daylio) в РФ-поиске почти не видны — окно открыто.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Кастомный домен для лендинга — разблокирует индексацию: на github.io нельзя положить robots.txt / sitemap в корень домена, поэтому сайт сейчас не в индексе.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Ключи-мишени: «трекер сна» (1836), «как посмотреть экранное время на андроиде» (1550), «экранное время» (1303), «цифровое благополучие». Title и описания лендинга и RuStore затачиваются под них; эмо-хук («почему вчера был тяжёлый день») остаётся для креативов и первых строк карточки.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On-page (сделано на лендинге): JSON-LD SoftwareApplication, sitemap.xml, robots.txt, canonical, favicon, keyword-title; задел под Яндекс.Метрику.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2026-10-14T15:39:05.518Z</dcterms:created>
  <dcterms:modified xsi:type="dcterms:W3CDTF">2026-10-14T15:39:05.523Z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