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สรุปอีเมลใหม่ (รอบ 2 ชั่วโมง)</w:t>
      </w:r>
    </w:p>
    <w:p>
      <w:r>
        <w:rPr>
          <w:b/>
          <w:bCs/>
        </w:rPr>
        <w:t xml:space="preserve">รอบตรวจสอบ: 07/08/2026 เวลา 17:05 UTC</w:t>
      </w:r>
    </w:p>
    <w:p>
      <w:r>
        <w:rPr>
          <w:i/>
          <w:iCs/>
          <w:sz w:val="18"/>
          <w:szCs w:val="18"/>
        </w:rPr>
        <w:t xml:space="preserve">หมายเหตุ: ค้นพบอีเมลใหม่ในกล่องขาเข้าช่วง 2 ชั่วโมงที่ผ่านมาทั้งหมด 36 ฉบับ (ทั้งหมดเป็นอีเมลงานรับส่งจาก transferz.com) แต่ 35 ฉบับซ้ำกับรายงานฉบับก่อนหน้า (reports/2026-08-07_1659.docx) ซึ่งสรุปไปแล้ว รายงานฉบับนี้จึงบันทึกเฉพาะรายการที่ยังไม่เคยถูกสรุปมาก่อนเท่านั้น เพื่อไม่ให้ข้อมูลซ้ำซ้อนกันระหว่างรอบ</w:t>
      </w:r>
    </w:p>
    <w:p/>
    <w:p>
      <w:r>
        <w:rPr>
          <w:b/>
          <w:bCs/>
        </w:rPr>
        <w:t xml:space="preserve">จำนวนอีเมลใหม่ที่ยังไม่เคยสรุป (รอบนี้): </w:t>
      </w:r>
      <w:r>
        <w:t xml:space="preserve">1 ฉบับ</w:t>
      </w:r>
    </w:p>
    <w:p>
      <w:r>
        <w:rPr>
          <w:b/>
          <w:bCs/>
        </w:rPr>
        <w:t xml:space="preserve">จำนวนรายการที่เข้าตารางเทมเพลต (Journey / transferz.com): </w:t>
      </w:r>
      <w:r>
        <w:t xml:space="preserve">1 รายการ</w:t>
      </w:r>
    </w:p>
    <w:p/>
    <w:p>
      <w:pPr>
        <w:pStyle w:val="Heading1"/>
      </w:pPr>
      <w:r>
        <w:t xml:space="preserve">อื่นๆ (งานรับส่งจาก transferz.com — งานที่ได้รับมอบหมายใหม่)</w:t>
      </w:r>
    </w:p>
    <w:p>
      <w:r>
        <w:rPr>
          <w:sz w:val="18"/>
          <w:szCs w:val="18"/>
        </w:rPr>
        <w:t xml:space="preserve">อีเมลกลุ่มนี้ไม่มี user label ติดอยู่ (ไม่ใช่ Journey changes the details หรือ Journey cancelled) แต่ส่งมาจากโดเมน transferz.com จึงแสดงผลเป็นตารางข้อมูลงานตามเทมเพลตแทนการสรุปข้อความ</w:t>
      </w:r>
    </w:p>
    <w:p/>
    <w:tbl>
      <w:tblPr>
        <w:tblW w:type="dxa" w:w="1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900"/>
        <w:gridCol w:w="900"/>
        <w:gridCol w:w="900"/>
        <w:gridCol w:w="2200"/>
        <w:gridCol w:w="2200"/>
        <w:gridCol w:w="1300"/>
        <w:gridCol w:w="1000"/>
        <w:gridCol w:w="800"/>
        <w:gridCol w:w="1200"/>
        <w:gridCol w:w="1600"/>
        <w:gridCol w:w="1000"/>
        <w:gridCol w:w="1000"/>
      </w:tblGrid>
      <w:tr>
        <w:trPr>
          <w:tblHeader/>
        </w:trPr>
        <w:tc>
          <w:tcPr>
            <w:tcW w:type="dxa" w:w="5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5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0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8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10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10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TZ1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22 Sept 2026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PG8NW5-1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06:30 (6:30 am)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Oakwood Residence Sukhumvit Thonglor Bangkok, Khlong Tan Nuea, Watthana, Bangkok 10110, Thailand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Vivek Tirunagari</w:t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TG330</w:t>
            </w:r>
          </w:p>
        </w:tc>
        <w:tc>
          <w:tcPr>
            <w:tcW w:type="dxa" w:w="1200"/>
          </w:tcPr>
          <w:p>
            <w:r>
              <w:rPr>
                <w:sz w:val="16"/>
                <w:szCs w:val="16"/>
              </w:rPr>
              <w:t xml:space="preserve">+61478660771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>Partner ref: 519074247; Meet &amp; greet: Yes</w:t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-</w:t>
            </w:r>
          </w:p>
        </w:tc>
      </w:tr>
    </w:tbl>
    <w:sectPr>
      <w:pgSz w:w="16838" w:h="11906" w:orient="landscape"/>
      <w:pgMar w:top="600" w:right="400" w:bottom="6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2026-08-07T17:09:52.275Z</dcterms:created>
  <dcterms:modified xsi:type="dcterms:W3CDTF">2026-08-07T17:09:52.276Z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