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A">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B">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F">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0">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spacing w:after="200" w:line="360" w:lineRule="auto"/>
        <w:rPr/>
      </w:pPr>
      <w:r w:rsidDel="00000000" w:rsidR="00000000" w:rsidRPr="00000000">
        <w:rPr>
          <w:rFonts w:ascii="Roboto" w:cs="Roboto" w:eastAsia="Roboto" w:hAnsi="Roboto"/>
          <w:sz w:val="24"/>
          <w:szCs w:val="24"/>
          <w:rtl w:val="0"/>
        </w:rPr>
        <w:t xml:space="preserve">Botium Toys should implement a disaster recovery plan, strengthen intrusion detection, ensure secure backups, use a password management system, and encrypt all sensitive data. The company must also meet PCI DSS, GDPR, and SOC requirements by enforcing strict access controls, safeguarding customer information, maintaining data integrity, and ensuring timely breach notifications. Regular staff training, periodic security assessments, and clear communication of risks to stakeholders will further enhance the company’s security posture and reduce potential threats.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