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</w:p>
    <w:p>
      <w:pPr>
        <w:pStyle w:val="7"/>
        <w:jc w:val="center"/>
      </w:pPr>
      <w:r>
        <w:rPr>
          <w:rFonts w:hint="eastAsia"/>
        </w:rPr>
        <w:t>QuantourExploration</w:t>
      </w:r>
    </w:p>
    <w:p>
      <w:pPr>
        <w:pStyle w:val="7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用户使用手册</w:t>
      </w:r>
    </w:p>
    <w:p>
      <w:pPr>
        <w:pStyle w:val="7"/>
        <w:jc w:val="center"/>
      </w:pPr>
    </w:p>
    <w:p>
      <w:pPr>
        <w:pStyle w:val="7"/>
        <w:jc w:val="center"/>
      </w:pPr>
      <w:r>
        <w:rPr>
          <w:rFonts w:hint="eastAsia"/>
        </w:rPr>
        <w:t>V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.0 正式版</w:t>
      </w:r>
    </w:p>
    <w:p>
      <w:pPr>
        <w:pStyle w:val="20"/>
      </w:pPr>
    </w:p>
    <w:p>
      <w:pPr>
        <w:pStyle w:val="20"/>
        <w:jc w:val="center"/>
        <w:rPr>
          <w:sz w:val="40"/>
        </w:rPr>
      </w:pPr>
      <w:r>
        <w:rPr>
          <w:rFonts w:hint="eastAsia"/>
          <w:sz w:val="40"/>
        </w:rPr>
        <w:t>南京大学</w:t>
      </w:r>
    </w:p>
    <w:p>
      <w:pPr>
        <w:pStyle w:val="20"/>
        <w:jc w:val="center"/>
        <w:rPr>
          <w:sz w:val="40"/>
        </w:rPr>
      </w:pPr>
    </w:p>
    <w:p>
      <w:pPr>
        <w:pStyle w:val="20"/>
        <w:jc w:val="center"/>
        <w:rPr>
          <w:sz w:val="40"/>
        </w:rPr>
      </w:pPr>
      <w:r>
        <w:rPr>
          <w:rFonts w:hint="eastAsia"/>
          <w:sz w:val="40"/>
        </w:rPr>
        <w:t>Team No.666</w:t>
      </w:r>
    </w:p>
    <w:p>
      <w:pPr>
        <w:pStyle w:val="2"/>
      </w:pPr>
      <w:bookmarkStart w:id="0" w:name="_Toc470444840"/>
      <w:bookmarkStart w:id="1" w:name="_Toc470444946"/>
      <w:bookmarkStart w:id="2" w:name="_Toc470380239"/>
      <w:r>
        <w:rPr>
          <w:rFonts w:hint="eastAsia"/>
        </w:rPr>
        <w:t>更新历史</w:t>
      </w:r>
      <w:bookmarkEnd w:id="0"/>
      <w:bookmarkEnd w:id="1"/>
      <w:bookmarkEnd w:id="2"/>
    </w:p>
    <w:p>
      <w:pPr>
        <w:jc w:val="center"/>
        <w:rPr>
          <w:b/>
          <w:sz w:val="28"/>
        </w:rPr>
      </w:pPr>
    </w:p>
    <w:tbl>
      <w:tblPr>
        <w:tblStyle w:val="9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邱昌政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2017-3-18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正版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  <w:tc>
          <w:tcPr>
            <w:tcW w:w="1662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  <w:tc>
          <w:tcPr>
            <w:tcW w:w="4954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</w:tr>
    </w:tbl>
    <w:p>
      <w:pPr>
        <w:pStyle w:val="10"/>
        <w:spacing w:before="1540" w:after="240"/>
        <w:jc w:val="center"/>
        <w:rPr>
          <w:rFonts w:hint="eastAsia" w:asciiTheme="minorEastAsia" w:hAnsiTheme="minorEastAsia"/>
          <w:sz w:val="28"/>
          <w:szCs w:val="28"/>
        </w:rPr>
      </w:pPr>
    </w:p>
    <w:p>
      <w:pPr>
        <w:pStyle w:val="10"/>
        <w:spacing w:before="1540" w:after="240"/>
        <w:jc w:val="center"/>
        <w:rPr>
          <w:rFonts w:hint="eastAsia" w:asciiTheme="minorEastAsia" w:hAnsiTheme="minorEastAsia"/>
          <w:sz w:val="28"/>
          <w:szCs w:val="28"/>
        </w:rPr>
      </w:pPr>
    </w:p>
    <w:p>
      <w:pPr>
        <w:pStyle w:val="10"/>
        <w:spacing w:before="1540" w:after="240"/>
        <w:jc w:val="center"/>
        <w:rPr>
          <w:rFonts w:hint="eastAsia" w:asciiTheme="minorEastAsia" w:hAnsiTheme="minorEastAsia"/>
          <w:sz w:val="28"/>
          <w:szCs w:val="28"/>
        </w:rPr>
      </w:pPr>
    </w:p>
    <w:p>
      <w:pPr>
        <w:pStyle w:val="10"/>
        <w:spacing w:before="1540" w:after="240"/>
        <w:jc w:val="center"/>
        <w:rPr>
          <w:rFonts w:hint="eastAsia" w:asciiTheme="minorEastAsia" w:hAnsiTheme="minorEastAsia"/>
          <w:sz w:val="28"/>
          <w:szCs w:val="28"/>
        </w:rPr>
      </w:pPr>
    </w:p>
    <w:p>
      <w:pPr>
        <w:pStyle w:val="10"/>
        <w:spacing w:before="1540" w:after="240"/>
        <w:jc w:val="center"/>
        <w:rPr>
          <w:rFonts w:hint="eastAsia" w:asciiTheme="minorEastAsia" w:hAnsiTheme="minorEastAsia"/>
          <w:sz w:val="28"/>
          <w:szCs w:val="28"/>
        </w:rPr>
      </w:pPr>
    </w:p>
    <w:p>
      <w:pPr>
        <w:pStyle w:val="10"/>
        <w:spacing w:before="1540" w:after="240"/>
        <w:jc w:val="center"/>
        <w:rPr>
          <w:rFonts w:asciiTheme="minorEastAsia" w:hAnsiTheme="minorEastAsia"/>
          <w:sz w:val="28"/>
          <w:szCs w:val="28"/>
        </w:rPr>
      </w:pPr>
      <w:bookmarkStart w:id="3" w:name="_GoBack"/>
      <w:bookmarkEnd w:id="3"/>
      <w:r>
        <w:rPr>
          <w:rFonts w:hint="eastAsia" w:asciiTheme="minorEastAsia" w:hAnsiTheme="minorEastAsia"/>
          <w:sz w:val="28"/>
          <w:szCs w:val="28"/>
        </w:rPr>
        <w:t>目的</w:t>
      </w:r>
    </w:p>
    <w:p>
      <w:pPr>
        <w:pStyle w:val="15"/>
        <w:widowControl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该用户手册旨在帮助用户了解本系统使用流程，并能在阅读完该用户手册后，</w:t>
      </w:r>
      <w:r>
        <w:rPr>
          <w:rFonts w:hint="eastAsia" w:asciiTheme="minorEastAsia" w:hAnsiTheme="minorEastAsia"/>
          <w:sz w:val="24"/>
          <w:szCs w:val="24"/>
        </w:rPr>
        <w:t>熟练</w:t>
      </w:r>
      <w:r>
        <w:rPr>
          <w:rFonts w:asciiTheme="minorEastAsia" w:hAnsiTheme="minorEastAsia"/>
          <w:sz w:val="24"/>
          <w:szCs w:val="24"/>
        </w:rPr>
        <w:t>地使用该系统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阅读对象</w:t>
      </w:r>
    </w:p>
    <w:p>
      <w:pPr>
        <w:pStyle w:val="15"/>
        <w:widowControl/>
        <w:ind w:left="78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希望</w:t>
      </w:r>
      <w:r>
        <w:rPr>
          <w:rFonts w:asciiTheme="minorEastAsia" w:hAnsiTheme="minorEastAsia"/>
          <w:sz w:val="24"/>
          <w:szCs w:val="24"/>
        </w:rPr>
        <w:t>获得股票大盘信息和个股信息，</w:t>
      </w:r>
      <w:r>
        <w:rPr>
          <w:rFonts w:hint="eastAsia" w:asciiTheme="minorEastAsia" w:hAnsiTheme="minor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能</w:t>
      </w:r>
      <w:r>
        <w:rPr>
          <w:rFonts w:hint="eastAsia" w:asciiTheme="minorEastAsia" w:hAnsiTheme="minorEastAsia"/>
          <w:sz w:val="24"/>
          <w:szCs w:val="24"/>
        </w:rPr>
        <w:t>看到</w:t>
      </w:r>
      <w:r>
        <w:rPr>
          <w:rFonts w:asciiTheme="minorEastAsia" w:hAnsiTheme="minorEastAsia"/>
          <w:sz w:val="24"/>
          <w:szCs w:val="24"/>
        </w:rPr>
        <w:t>自己</w:t>
      </w:r>
      <w:r>
        <w:rPr>
          <w:rFonts w:hint="eastAsia" w:asciiTheme="minorEastAsia" w:hAnsiTheme="minorEastAsia"/>
          <w:sz w:val="24"/>
          <w:szCs w:val="24"/>
        </w:rPr>
        <w:t>所</w:t>
      </w:r>
      <w:r>
        <w:rPr>
          <w:rFonts w:asciiTheme="minorEastAsia" w:hAnsiTheme="minorEastAsia"/>
          <w:sz w:val="24"/>
          <w:szCs w:val="24"/>
        </w:rPr>
        <w:t>关注的股票的</w:t>
      </w:r>
      <w:r>
        <w:rPr>
          <w:rFonts w:hint="eastAsia" w:asciiTheme="minorEastAsia" w:hAnsiTheme="minorEastAsia"/>
          <w:sz w:val="24"/>
          <w:szCs w:val="24"/>
        </w:rPr>
        <w:t>图表</w:t>
      </w:r>
      <w:r>
        <w:rPr>
          <w:rFonts w:asciiTheme="minorEastAsia" w:hAnsiTheme="minorEastAsia"/>
          <w:sz w:val="24"/>
          <w:szCs w:val="24"/>
        </w:rPr>
        <w:t>分析及</w:t>
      </w:r>
      <w:r>
        <w:rPr>
          <w:rFonts w:hint="eastAsia" w:asciiTheme="minorEastAsia" w:hAnsiTheme="minorEastAsia"/>
          <w:sz w:val="24"/>
          <w:szCs w:val="24"/>
        </w:rPr>
        <w:t>股票信息对比</w:t>
      </w:r>
      <w:r>
        <w:rPr>
          <w:rFonts w:asciiTheme="minorEastAsia" w:hAnsiTheme="minorEastAsia"/>
          <w:sz w:val="24"/>
          <w:szCs w:val="24"/>
        </w:rPr>
        <w:t>的用</w:t>
      </w:r>
      <w:r>
        <w:rPr>
          <w:rFonts w:hint="eastAsia" w:asciiTheme="minorEastAsia" w:hAnsiTheme="minorEastAsia"/>
          <w:sz w:val="24"/>
          <w:szCs w:val="24"/>
        </w:rPr>
        <w:t>户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如何使用本手册</w:t>
      </w:r>
    </w:p>
    <w:p>
      <w:pPr>
        <w:pStyle w:val="15"/>
        <w:widowControl/>
        <w:ind w:left="78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着重阅读使用指南部分，</w:t>
      </w:r>
      <w:r>
        <w:rPr>
          <w:rFonts w:hint="eastAsia" w:asciiTheme="minorEastAsia" w:hAnsiTheme="minorEastAsia"/>
          <w:sz w:val="24"/>
          <w:szCs w:val="24"/>
        </w:rPr>
        <w:t>必要时</w:t>
      </w:r>
      <w:r>
        <w:rPr>
          <w:rFonts w:asciiTheme="minorEastAsia" w:hAnsiTheme="minorEastAsia"/>
          <w:sz w:val="24"/>
          <w:szCs w:val="24"/>
        </w:rPr>
        <w:t>可配合迭代一用户部署说明</w:t>
      </w:r>
      <w:r>
        <w:rPr>
          <w:rFonts w:hint="eastAsia" w:asciiTheme="minorEastAsia" w:hAnsiTheme="minorEastAsia"/>
          <w:sz w:val="24"/>
          <w:szCs w:val="24"/>
        </w:rPr>
        <w:t>文档</w:t>
      </w:r>
      <w:r>
        <w:rPr>
          <w:rFonts w:asciiTheme="minorEastAsia" w:hAnsiTheme="minorEastAsia"/>
          <w:sz w:val="24"/>
          <w:szCs w:val="24"/>
        </w:rPr>
        <w:t>阅读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相关</w:t>
      </w:r>
      <w:r>
        <w:rPr>
          <w:rFonts w:asciiTheme="minorEastAsia" w:hAnsiTheme="minorEastAsia"/>
          <w:sz w:val="24"/>
          <w:szCs w:val="24"/>
        </w:rPr>
        <w:t>文档</w:t>
      </w:r>
    </w:p>
    <w:p>
      <w:pPr>
        <w:widowControl/>
        <w:ind w:left="7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部署说明文档》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约定</w:t>
      </w:r>
    </w:p>
    <w:p>
      <w:pPr>
        <w:pStyle w:val="15"/>
        <w:widowControl/>
        <w:ind w:left="78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CON1：本手册</w:t>
      </w:r>
      <w:r>
        <w:rPr>
          <w:rFonts w:asciiTheme="minorEastAsia" w:hAnsiTheme="minorEastAsia"/>
          <w:sz w:val="24"/>
          <w:szCs w:val="24"/>
        </w:rPr>
        <w:t>的图片皆为使用时的界面</w:t>
      </w:r>
    </w:p>
    <w:p>
      <w:pPr>
        <w:widowControl/>
        <w:jc w:val="left"/>
        <w:rPr>
          <w:rFonts w:asciiTheme="minorEastAsia" w:hAnsiTheme="minorEastAsia"/>
          <w:szCs w:val="21"/>
        </w:rPr>
      </w:pPr>
    </w:p>
    <w:p>
      <w:pPr>
        <w:pStyle w:val="1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软件</w:t>
      </w:r>
      <w:r>
        <w:rPr>
          <w:rFonts w:asciiTheme="minorEastAsia" w:hAnsiTheme="minorEastAsia"/>
          <w:sz w:val="28"/>
          <w:szCs w:val="28"/>
        </w:rPr>
        <w:t>概述</w:t>
      </w:r>
    </w:p>
    <w:p>
      <w:pPr>
        <w:pStyle w:val="15"/>
        <w:widowControl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2.1 </w:t>
      </w:r>
      <w:r>
        <w:rPr>
          <w:rFonts w:hint="eastAsia" w:asciiTheme="minorEastAsia" w:hAnsiTheme="minor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和特点</w:t>
      </w:r>
    </w:p>
    <w:p>
      <w:pPr>
        <w:pStyle w:val="15"/>
        <w:widowControl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本软件旨在为用户提供股票数据的查看和关注，</w:t>
      </w:r>
      <w:r>
        <w:rPr>
          <w:rFonts w:hint="eastAsia" w:asciiTheme="minorEastAsia" w:hAnsiTheme="minor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给予</w:t>
      </w:r>
      <w:r>
        <w:rPr>
          <w:rFonts w:hint="eastAsia" w:asciiTheme="minorEastAsia" w:hAnsiTheme="minorEastAsia"/>
          <w:sz w:val="24"/>
          <w:szCs w:val="24"/>
        </w:rPr>
        <w:t>可视化</w:t>
      </w:r>
      <w:r>
        <w:rPr>
          <w:rFonts w:asciiTheme="minorEastAsia" w:hAnsiTheme="minorEastAsia"/>
          <w:sz w:val="24"/>
          <w:szCs w:val="24"/>
        </w:rPr>
        <w:t>图标分析以及量化交易策略，迭代</w:t>
      </w:r>
      <w:r>
        <w:rPr>
          <w:rFonts w:hint="eastAsia" w:asciiTheme="minorEastAsia" w:hAnsiTheme="minorEastAsia"/>
          <w:sz w:val="24"/>
          <w:szCs w:val="24"/>
        </w:rPr>
        <w:t>一</w:t>
      </w:r>
      <w:r>
        <w:rPr>
          <w:rFonts w:asciiTheme="minorEastAsia" w:hAnsiTheme="minorEastAsia"/>
          <w:sz w:val="24"/>
          <w:szCs w:val="24"/>
        </w:rPr>
        <w:t>主要功能为对</w:t>
      </w:r>
      <w:r>
        <w:rPr>
          <w:rFonts w:hint="eastAsia" w:asciiTheme="minorEastAsia" w:hAnsiTheme="minorEastAsia"/>
          <w:sz w:val="24"/>
          <w:szCs w:val="24"/>
        </w:rPr>
        <w:t>股票</w:t>
      </w:r>
      <w:r>
        <w:rPr>
          <w:rFonts w:asciiTheme="minorEastAsia" w:hAnsiTheme="minorEastAsia"/>
          <w:sz w:val="24"/>
          <w:szCs w:val="24"/>
        </w:rPr>
        <w:t>历史数据的查看和</w:t>
      </w:r>
      <w:r>
        <w:rPr>
          <w:rFonts w:hint="eastAsia" w:asciiTheme="minorEastAsia" w:hAnsiTheme="minorEastAsia"/>
          <w:sz w:val="24"/>
          <w:szCs w:val="24"/>
        </w:rPr>
        <w:t>筛选以及</w:t>
      </w:r>
      <w:r>
        <w:rPr>
          <w:rFonts w:asciiTheme="minorEastAsia" w:hAnsiTheme="minorEastAsia"/>
          <w:sz w:val="24"/>
          <w:szCs w:val="24"/>
        </w:rPr>
        <w:t>对</w:t>
      </w:r>
      <w:r>
        <w:rPr>
          <w:rFonts w:hint="eastAsia" w:asciiTheme="minorEastAsia" w:hAnsiTheme="minorEastAsia"/>
          <w:sz w:val="24"/>
          <w:szCs w:val="24"/>
        </w:rPr>
        <w:t>单个</w:t>
      </w:r>
      <w:r>
        <w:rPr>
          <w:rFonts w:asciiTheme="minorEastAsia" w:hAnsiTheme="minorEastAsia"/>
          <w:sz w:val="24"/>
          <w:szCs w:val="24"/>
        </w:rPr>
        <w:t>股票具体信息的查看和</w:t>
      </w:r>
      <w:r>
        <w:rPr>
          <w:rFonts w:hint="eastAsia" w:asciiTheme="minorEastAsia" w:hAnsiTheme="minorEastAsia"/>
          <w:sz w:val="24"/>
          <w:szCs w:val="24"/>
        </w:rPr>
        <w:t>不同股票的对比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迭代一</w:t>
      </w:r>
      <w:r>
        <w:rPr>
          <w:rFonts w:asciiTheme="minorEastAsia" w:hAnsiTheme="minorEastAsia"/>
          <w:sz w:val="24"/>
          <w:szCs w:val="24"/>
        </w:rPr>
        <w:t>中对股票列表的读取速度</w:t>
      </w:r>
      <w:r>
        <w:rPr>
          <w:rFonts w:hint="eastAsia" w:asciiTheme="minorEastAsia" w:hAnsiTheme="minorEastAsia"/>
          <w:sz w:val="24"/>
          <w:szCs w:val="24"/>
        </w:rPr>
        <w:t>较慢</w:t>
      </w:r>
      <w:r>
        <w:rPr>
          <w:rFonts w:asciiTheme="minorEastAsia" w:hAnsiTheme="minorEastAsia"/>
          <w:sz w:val="24"/>
          <w:szCs w:val="24"/>
        </w:rPr>
        <w:t>，等待30秒呈现，</w:t>
      </w:r>
      <w:r>
        <w:rPr>
          <w:rFonts w:hint="eastAsia" w:asciiTheme="minorEastAsia" w:hAnsiTheme="minorEastAsia"/>
          <w:sz w:val="24"/>
          <w:szCs w:val="24"/>
        </w:rPr>
        <w:t>后期</w:t>
      </w:r>
      <w:r>
        <w:rPr>
          <w:rFonts w:asciiTheme="minorEastAsia" w:hAnsiTheme="minorEastAsia"/>
          <w:sz w:val="24"/>
          <w:szCs w:val="24"/>
        </w:rPr>
        <w:t>将会</w:t>
      </w:r>
      <w:r>
        <w:rPr>
          <w:rFonts w:hint="eastAsia" w:asciiTheme="minorEastAsia" w:hAnsiTheme="minorEastAsia"/>
          <w:sz w:val="24"/>
          <w:szCs w:val="24"/>
        </w:rPr>
        <w:t>优化</w:t>
      </w:r>
    </w:p>
    <w:p>
      <w:pPr>
        <w:pStyle w:val="15"/>
        <w:widowControl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2.2 获取</w:t>
      </w:r>
      <w:r>
        <w:rPr>
          <w:rFonts w:asciiTheme="minorEastAsia" w:hAnsiTheme="minorEastAsia"/>
          <w:sz w:val="24"/>
          <w:szCs w:val="24"/>
        </w:rPr>
        <w:t>技术支持</w:t>
      </w:r>
    </w:p>
    <w:p>
      <w:pPr>
        <w:widowControl/>
        <w:ind w:left="360" w:firstLine="48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4"/>
          <w:szCs w:val="24"/>
        </w:rPr>
        <w:t>本软件使用</w:t>
      </w:r>
      <w:r>
        <w:rPr>
          <w:rFonts w:hint="eastAsia" w:asciiTheme="minorEastAsia" w:hAnsiTheme="minorEastAsia"/>
          <w:sz w:val="24"/>
          <w:szCs w:val="24"/>
        </w:rPr>
        <w:t>csvreader</w:t>
      </w:r>
      <w:r>
        <w:rPr>
          <w:rFonts w:asciiTheme="minorEastAsia" w:hAnsiTheme="minorEastAsia"/>
          <w:sz w:val="24"/>
          <w:szCs w:val="24"/>
        </w:rPr>
        <w:t>获取股票数据，</w:t>
      </w:r>
      <w:r>
        <w:rPr>
          <w:rFonts w:hint="eastAsia" w:asciiTheme="minorEastAsia" w:hAnsiTheme="minorEastAsia"/>
          <w:sz w:val="24"/>
          <w:szCs w:val="24"/>
        </w:rPr>
        <w:t>详细</w:t>
      </w:r>
      <w:r>
        <w:rPr>
          <w:rFonts w:asciiTheme="minorEastAsia" w:hAnsiTheme="minorEastAsia"/>
          <w:sz w:val="24"/>
          <w:szCs w:val="24"/>
        </w:rPr>
        <w:t>实现已</w:t>
      </w:r>
      <w:r>
        <w:rPr>
          <w:rFonts w:hint="eastAsia" w:asciiTheme="minorEastAsia" w:hAnsiTheme="minor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封装，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可快速上手使用</w:t>
      </w:r>
      <w:r>
        <w:rPr>
          <w:rFonts w:asciiTheme="minorEastAsia" w:hAnsiTheme="minorEastAsia"/>
          <w:szCs w:val="21"/>
        </w:rPr>
        <w:t>。</w:t>
      </w:r>
    </w:p>
    <w:p>
      <w:pPr>
        <w:pStyle w:val="1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指南</w:t>
      </w:r>
    </w:p>
    <w:p>
      <w:pPr>
        <w:pStyle w:val="15"/>
        <w:widowControl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3.1</w:t>
      </w:r>
      <w:r>
        <w:rPr>
          <w:rFonts w:hint="eastAsia" w:asciiTheme="minorEastAsia" w:hAnsiTheme="minorEastAsia"/>
          <w:sz w:val="24"/>
          <w:szCs w:val="24"/>
        </w:rPr>
        <w:t>概述</w:t>
      </w:r>
    </w:p>
    <w:p>
      <w:pPr>
        <w:pStyle w:val="15"/>
        <w:widowControl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本章节介绍本软件具体使用指南，</w:t>
      </w:r>
      <w:r>
        <w:rPr>
          <w:rFonts w:hint="eastAsia" w:asciiTheme="minorEastAsia" w:hAnsiTheme="minorEastAsia"/>
          <w:sz w:val="24"/>
          <w:szCs w:val="24"/>
        </w:rPr>
        <w:t>包括</w:t>
      </w:r>
      <w:r>
        <w:rPr>
          <w:rFonts w:asciiTheme="minorEastAsia" w:hAnsiTheme="minorEastAsia"/>
          <w:sz w:val="24"/>
          <w:szCs w:val="24"/>
        </w:rPr>
        <w:t>软件的交互顺序指南、</w:t>
      </w:r>
      <w:r>
        <w:rPr>
          <w:rFonts w:hint="eastAsia" w:asciiTheme="minorEastAsia" w:hAnsiTheme="minorEastAsia"/>
          <w:sz w:val="24"/>
          <w:szCs w:val="24"/>
        </w:rPr>
        <w:t>相应</w:t>
      </w:r>
      <w:r>
        <w:rPr>
          <w:rFonts w:asciiTheme="minorEastAsia" w:hAnsiTheme="minorEastAsia"/>
          <w:sz w:val="24"/>
          <w:szCs w:val="24"/>
        </w:rPr>
        <w:t>的术语解释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15"/>
        <w:widowControl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3.2 处理</w:t>
      </w:r>
      <w:r>
        <w:rPr>
          <w:rFonts w:asciiTheme="minorEastAsia" w:hAnsiTheme="minorEastAsia"/>
          <w:sz w:val="24"/>
          <w:szCs w:val="24"/>
        </w:rPr>
        <w:t>过程</w:t>
      </w:r>
    </w:p>
    <w:p>
      <w:pPr>
        <w:pStyle w:val="15"/>
        <w:widowControl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3.2.1 </w:t>
      </w:r>
      <w:r>
        <w:rPr>
          <w:rFonts w:hint="eastAsia" w:asciiTheme="minorEastAsia" w:hAnsiTheme="minorEastAsia"/>
          <w:sz w:val="24"/>
          <w:szCs w:val="24"/>
        </w:rPr>
        <w:t>个股数据</w:t>
      </w:r>
    </w:p>
    <w:p>
      <w:pPr>
        <w:widowControl/>
        <w:ind w:left="840" w:firstLine="64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页面展示部分股票数据列表，</w:t>
      </w:r>
      <w:r>
        <w:rPr>
          <w:rFonts w:hint="eastAsia" w:asciiTheme="minorEastAsia" w:hAnsiTheme="minorEastAsia"/>
          <w:sz w:val="24"/>
          <w:szCs w:val="24"/>
        </w:rPr>
        <w:t>包括</w:t>
      </w:r>
      <w:r>
        <w:rPr>
          <w:rFonts w:asciiTheme="minorEastAsia" w:hAnsiTheme="minorEastAsia"/>
          <w:sz w:val="24"/>
          <w:szCs w:val="24"/>
        </w:rPr>
        <w:t>股票</w:t>
      </w:r>
      <w:r>
        <w:rPr>
          <w:rFonts w:hint="eastAsia" w:asciiTheme="minorEastAsia" w:hAnsiTheme="minorEastAsia"/>
          <w:sz w:val="24"/>
          <w:szCs w:val="24"/>
        </w:rPr>
        <w:t>代码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</w:rPr>
        <w:t>开盘价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</w:rPr>
        <w:t>最高价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</w:rPr>
        <w:t>最低价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</w:rPr>
        <w:t>收盘价和</w:t>
      </w:r>
      <w:r>
        <w:rPr>
          <w:rFonts w:asciiTheme="minorEastAsia" w:hAnsiTheme="minorEastAsia"/>
          <w:sz w:val="24"/>
          <w:szCs w:val="24"/>
        </w:rPr>
        <w:t>交易量数据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117975" cy="2316480"/>
            <wp:effectExtent l="0" t="0" r="0" b="7620"/>
            <wp:docPr id="9" name="图片 9" descr="C:\Users\KeekyG\Documents\Tencent Files\821617421\Image\C2C\GRA]%DPC`J@(P6~EX09ZY)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KeekyG\Documents\Tencent Files\821617421\Image\C2C\GRA]%DPC`J@(P6~EX09ZY)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410" cy="23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40" w:firstLine="64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ind w:left="840" w:firstLine="64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3.2.2.1 股票比较</w:t>
      </w:r>
    </w:p>
    <w:p>
      <w:pPr>
        <w:widowControl/>
        <w:ind w:left="148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通过侧边栏根据关键字搜索不同股票的对比信息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       </w:t>
      </w: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3.2.3 </w:t>
      </w:r>
      <w:r>
        <w:rPr>
          <w:rFonts w:hint="eastAsia" w:asciiTheme="minorEastAsia" w:hAnsiTheme="minorEastAsia"/>
          <w:sz w:val="24"/>
          <w:szCs w:val="24"/>
        </w:rPr>
        <w:t>市场温度计</w:t>
      </w:r>
    </w:p>
    <w:p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在侧边栏</w:t>
      </w:r>
      <w:r>
        <w:rPr>
          <w:rFonts w:asciiTheme="minorEastAsia" w:hAnsiTheme="minorEastAsia"/>
          <w:sz w:val="24"/>
          <w:szCs w:val="24"/>
        </w:rPr>
        <w:t>的搜索框内</w:t>
      </w:r>
      <w:r>
        <w:rPr>
          <w:rFonts w:hint="eastAsia" w:asciiTheme="minorEastAsia" w:hAnsiTheme="minorEastAsia"/>
          <w:sz w:val="24"/>
          <w:szCs w:val="24"/>
        </w:rPr>
        <w:t>可根据</w:t>
      </w:r>
      <w:r>
        <w:rPr>
          <w:rFonts w:asciiTheme="minorEastAsia" w:hAnsiTheme="minorEastAsia"/>
          <w:sz w:val="24"/>
          <w:szCs w:val="24"/>
        </w:rPr>
        <w:t>关键字搜索</w:t>
      </w:r>
      <w:r>
        <w:rPr>
          <w:rFonts w:hint="eastAsia" w:asciiTheme="minorEastAsia" w:hAnsiTheme="minorEastAsia"/>
          <w:sz w:val="24"/>
          <w:szCs w:val="24"/>
        </w:rPr>
        <w:t>当日股票信息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78350" cy="2575560"/>
            <wp:effectExtent l="0" t="0" r="0" b="0"/>
            <wp:docPr id="7" name="图片 7" descr="C:\Users\KeekyG\Documents\Tencent Files\821617421\Image\C2C\5AJ]S3_5X7E[BI0L~CW[O~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KeekyG\Documents\Tencent Files\821617421\Image\C2C\5AJ]S3_5X7E[BI0L~CW[O~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051" cy="260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</w:p>
    <w:p>
      <w:pPr>
        <w:pStyle w:val="15"/>
        <w:widowControl/>
        <w:ind w:left="840" w:firstLine="520" w:firstLineChars="0"/>
        <w:jc w:val="left"/>
        <w:rPr>
          <w:rFonts w:asciiTheme="minorEastAsia" w:hAnsiTheme="minorEastAsia"/>
          <w:sz w:val="24"/>
          <w:szCs w:val="24"/>
        </w:rPr>
      </w:pPr>
    </w:p>
    <w:p>
      <w:pPr>
        <w:pStyle w:val="1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附录</w:t>
      </w:r>
    </w:p>
    <w:p>
      <w:pPr>
        <w:pStyle w:val="15"/>
        <w:widowControl/>
        <w:ind w:left="84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所有</w:t>
      </w:r>
      <w:r>
        <w:rPr>
          <w:rFonts w:asciiTheme="minorEastAsia" w:hAnsiTheme="minorEastAsia"/>
          <w:sz w:val="24"/>
          <w:szCs w:val="24"/>
        </w:rPr>
        <w:t>输入</w:t>
      </w:r>
      <w:r>
        <w:rPr>
          <w:rFonts w:hint="eastAsia" w:asciiTheme="minorEastAsia" w:hAnsiTheme="minorEastAsia"/>
          <w:sz w:val="24"/>
          <w:szCs w:val="24"/>
        </w:rPr>
        <w:t>均有输入提示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9E2"/>
    <w:multiLevelType w:val="multilevel"/>
    <w:tmpl w:val="0CD209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C71950"/>
    <w:multiLevelType w:val="multilevel"/>
    <w:tmpl w:val="1DC7195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8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37"/>
    <w:rsid w:val="00054BAE"/>
    <w:rsid w:val="00322959"/>
    <w:rsid w:val="004A698E"/>
    <w:rsid w:val="004B0037"/>
    <w:rsid w:val="00504520"/>
    <w:rsid w:val="00537B66"/>
    <w:rsid w:val="005922BA"/>
    <w:rsid w:val="006212AA"/>
    <w:rsid w:val="00693751"/>
    <w:rsid w:val="006E3E64"/>
    <w:rsid w:val="00904C0F"/>
    <w:rsid w:val="00A06AED"/>
    <w:rsid w:val="00A14B96"/>
    <w:rsid w:val="00A53835"/>
    <w:rsid w:val="00AE295C"/>
    <w:rsid w:val="00AF6548"/>
    <w:rsid w:val="00C166DA"/>
    <w:rsid w:val="00ED660F"/>
    <w:rsid w:val="00EE6834"/>
    <w:rsid w:val="1B174D21"/>
    <w:rsid w:val="64D31F5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link w:val="18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字符"/>
    <w:basedOn w:val="8"/>
    <w:link w:val="10"/>
    <w:qFormat/>
    <w:uiPriority w:val="1"/>
    <w:rPr>
      <w:kern w:val="0"/>
      <w:sz w:val="22"/>
      <w:szCs w:val="22"/>
      <w:lang w:eastAsia="zh-CN"/>
    </w:r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  <w:lang w:eastAsia="zh-CN"/>
    </w:r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zh-CN"/>
    </w:rPr>
  </w:style>
  <w:style w:type="character" w:customStyle="1" w:styleId="14">
    <w:name w:val="标题 3 字符"/>
    <w:basedOn w:val="8"/>
    <w:link w:val="4"/>
    <w:qFormat/>
    <w:uiPriority w:val="9"/>
    <w:rPr>
      <w:b/>
      <w:bCs/>
      <w:sz w:val="32"/>
      <w:szCs w:val="32"/>
      <w:lang w:eastAsia="zh-CN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8"/>
    <w:link w:val="6"/>
    <w:qFormat/>
    <w:uiPriority w:val="99"/>
    <w:rPr>
      <w:sz w:val="18"/>
      <w:szCs w:val="18"/>
      <w:lang w:eastAsia="zh-CN"/>
    </w:rPr>
  </w:style>
  <w:style w:type="character" w:customStyle="1" w:styleId="17">
    <w:name w:val="页脚 字符"/>
    <w:basedOn w:val="8"/>
    <w:link w:val="5"/>
    <w:qFormat/>
    <w:uiPriority w:val="99"/>
    <w:rPr>
      <w:sz w:val="18"/>
      <w:szCs w:val="18"/>
      <w:lang w:eastAsia="zh-CN"/>
    </w:rPr>
  </w:style>
  <w:style w:type="character" w:customStyle="1" w:styleId="18">
    <w:name w:val="标题 字符"/>
    <w:basedOn w:val="8"/>
    <w:link w:val="7"/>
    <w:uiPriority w:val="0"/>
    <w:rPr>
      <w:rFonts w:ascii="Arial" w:hAnsi="Arial"/>
      <w:b/>
      <w:kern w:val="28"/>
      <w:sz w:val="64"/>
      <w:szCs w:val="22"/>
      <w:lang w:eastAsia="zh-CN"/>
    </w:rPr>
  </w:style>
  <w:style w:type="paragraph" w:customStyle="1" w:styleId="19">
    <w:name w:val="line"/>
    <w:basedOn w:val="7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0">
    <w:name w:val="ByLine"/>
    <w:basedOn w:val="7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</Words>
  <Characters>561</Characters>
  <Lines>4</Lines>
  <Paragraphs>1</Paragraphs>
  <ScaleCrop>false</ScaleCrop>
  <LinksUpToDate>false</LinksUpToDate>
  <CharactersWithSpaces>658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2016-03-11T09:07:00Z</dcterms:created>
  <dc:creator>Mario Que</dc:creator>
  <cp:lastModifiedBy>ssw</cp:lastModifiedBy>
  <dcterms:modified xsi:type="dcterms:W3CDTF">2017-03-18T08:32:56Z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