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Творче 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Виділіть основні аспекти та елементи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які формують корпоративний імідж Академії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Наведіть атрибутивні іміджеві характеристики Академії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логотипи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гасла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девізи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поліграфічні константи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друковану продукцію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елементи одягу тощо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pacing w:val="-3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Імідж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комплекс характеристик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роблять будь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який об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єкт впізнаваним та описують його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впливають на сприйняття та ставлення до нього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 сучасному світі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особливо в умовах ринкової економіки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імідж стає важливою складовою для будь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якої організації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сприяє формуванню сприятливого враження та встановленню гармонійних відносин з громадськістю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Вищі навчальні заклади сьогодні відіграють ключову роль в суспільстві та впливають на його розвиток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Педагогічний та економічний аспекти є невід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ємною частиною їхньої діяльності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Зростання конкуренції у сфері освітніх послуг призвело до необхідності формування поняття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імідж вузу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Важливо враховувати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імідж освітнього закладу не створюється для отримання прибутку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має на меті сприяти взаєморозумінню та взаємодії в розвитку освіти та суспільства в цілому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Термін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імідж вузу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виник в середині </w:t>
      </w:r>
      <w:r>
        <w:rPr>
          <w:rFonts w:ascii="Times New Roman" w:hAnsi="Times New Roman"/>
          <w:sz w:val="28"/>
          <w:szCs w:val="28"/>
          <w:rtl w:val="0"/>
          <w:lang w:val="ru-RU"/>
        </w:rPr>
        <w:t>90-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 років ХХ століття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 стало очевидним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освіта є послугою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задовольняє потреби суспільства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не просто навчальним процесом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цей час комерційні університети почали надавати цю послугу поряд із державними закладами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Ефективний імідж вузу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той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включає позитивні характеристики університету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сприяють досягненню його основних цілей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Він створює стійкі асоціації та формує символічний та паблік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рілейшн капітали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Ефективний імідж підвищує конкурентоспроможність на ринку освітніх послуг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приваблює абітурієнтів та професорсько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викладацький склад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підвищує рівень навчання та випускників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Важливо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щоб імідж відповідав очікуванням користувачів освітніх послуг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формуванні ефективного іміджу важливо чітко визначити його напрямок та конкретизувати тип іміджу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який потрібно розробити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Необхідно зрозуміти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елементи складають імідж вузу та спрямовувати усі зусилля в цьому напрямі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структурі іміджу МАУП можна віділити 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компонентів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Імідж освітньої послуги – уявлення людей щодо унікальних характеристик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їхню думку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має послуга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Додаткові послуги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атрибути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це 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забезпечує вузу відмінні властивості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Імідж споживачів освітніх послуг включає інформацію про стиль життя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суспільний статус і окремі особистісні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психологічні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характеристики споживачів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Внутрішній імідж організації – це уявлення викладачів і студентів про вуз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Основними детермінантами внутрішнього іміджу є культура організації та соціально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психологічний клімат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Імідж ректора вузу й наукової ради включає уявлення про здібності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ціннісні орієнтації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психологічні характеристики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зовнішність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Імідж персоналу – це збірний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узагальнений образ викладацького складу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Соціальний імідж – уявлення широкої громадськості про соціальні цілі й ролі вузу в економічному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соціальному та культурному житті суспільства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Візуальний імідж – уявлення про організацію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засновані на зорових відчуттях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фіксують інформацію про інтер’єр корпусів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лекційні аудиторії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фірмову символіку організації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Бізнес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імідж – уявлення про організацію як про суб’єкт ділової активності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візуальний імідж МАУП впливає яскрава атрибутика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неї належить прапор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гімн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емблема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тощо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менш важливим є робота власного </w:t>
      </w:r>
      <w:r>
        <w:rPr>
          <w:rFonts w:ascii="Times New Roman" w:hAnsi="Times New Roman"/>
          <w:sz w:val="28"/>
          <w:szCs w:val="28"/>
          <w:rtl w:val="0"/>
          <w:lang w:val="ru-RU"/>
        </w:rPr>
        <w:t>web-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сайту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 можна побачити всі елементи атрибутики теж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Оскільки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 живемо в час стрімкого розвитку Інтернет технологій і більшість аудиторії переглядає інформацію про певний заклад саме тут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надання якомога більше позитивної інформації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традиції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історія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 обов’язковою умовою отримання позитивного іміджу та залучення нової аудиторії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Гарно оформлена і показана зовнішня атрибутика ВНЗ показує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цей вуз є особливим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таким як інші і якщо вдається це донести до аудиторії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тоді можна збільшити кількість аудиторії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також через Інтернет та ЗМІ сформувати імідж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pacing w:val="-3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Навед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емо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атрибутивні іміджеві характеристики Академії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логотипи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гасла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девізи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поліграфічні константи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друковану продукцію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елементи одягу тощо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 xml:space="preserve">Логотип МАУП –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2482850" cy="1835150"/>
            <wp:effectExtent l="0" t="0" r="0" b="0"/>
            <wp:docPr id="1073741825" name="officeArt object" descr="Льготная цена на учебу в Сумском институте МАУП | Панора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ьготная цена на учебу в Сумском институте МАУП | Панорама" descr="Льготная цена на учебу в Сумском институте МАУП | Панорама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835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0070c0"/>
          <w:sz w:val="28"/>
          <w:szCs w:val="28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Сайт МАУП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"https://maup.com.ua/ru/ob-akademii/pro-maup.html"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https://maup.com.ua/ru/ob-akademii/pro-maup.html</w:t>
      </w:r>
      <w:r>
        <w:rPr/>
        <w:fldChar w:fldCharType="end" w:fldLock="0"/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Поліграфічна діяльність МАУП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друкована продукція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Видавництво при МАУП засноване одночасно з МАУП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Спеціалізується на випуску оригінальної навчальної літератури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адаптованої до реальних умов економіки та суспільного життя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Використання навчальної літератури власного видавництва є однією з ключових складових високого рівня підготовки студентів МАУП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Вже наразі видавництво надало понад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видань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включаючи підручники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монографії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навчальні посібники з управління персоналом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менеджменту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бізнесу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економіки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педагогіки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психології та соціології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Багато з цих видань отримали рекомендації від Міністерства освіти і науки України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Серед авторів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визнані українські вчені з різних наукових галузей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Практична спрямованість навчальної літератури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видавництво представляє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робить її незамінним помічником та консультантом не лише для студентів МАУП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 й для науковців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фахівців і керівників на всіх рівнях у їх повсякденній роботі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Кожен студент МАУП отримує комплект літератури від Видавництва МАУП на початку семестру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який вже включений до вартості навчання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Видавництво МАУП є постійним учасником важливих книжкових виставок і ярмарків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Запропонуйте основні норми внутрішньої культури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які можна покласти в основу культурних сценаріїв спілкування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pacing w:val="-3"/>
          <w:sz w:val="28"/>
          <w:szCs w:val="28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Організаційна культура в університеті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такому як МАУП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відіграє важливу роль у визначенні його життєвого потенціалу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іміджу та конкурентоспроможності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Ця культура може мати різні впливи і наслідки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1.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Організаційна культура може стати конкурентною перевагою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яка відзначається унікальним стилем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цінностями та філософією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що відрізняють вуз від інших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Це може привабити студентів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викладачів та інших співробітників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2.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Вона спрощує управління вузом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оскільки колектив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який поділяє загальні цінності і принципи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більш схильний до спільної роботи та співпраці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Це допомагає уникнути необхідності застосування формального контролю та зменшує виробничі конфлікти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3.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Однак організаційна культура також може стати перешкодою для позитивних організаційних змін та реформ вузу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якщо вона не сприяє нововведенням та адаптації до змін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4.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Важливою функцією організаційної культури є гуртування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мотивація та надихання персоналу працювати в команді та досягати спільних цілей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Трирівнева модель організаційної культури в МАУП може бути важливим інструментом для аналізу та розвитку цієї культури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1.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 xml:space="preserve">Перший рівень 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це артефакти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які включають усі видимі і відчутні зовнішні прояви та процеси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 xml:space="preserve">До них відносяться фізична інфраструктура 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архітектура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дизайн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 xml:space="preserve">ідентифікаційні символи 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логотипи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нагрудні знаки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різні традиції та обряди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2.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 xml:space="preserve">Другий рівень 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це система проголошених цінностей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що описують наміри та філософію вузу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Ці цінності мають бути відображені у регламентуючих документах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таких як місія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стратегічний план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політика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кодекси честі тощо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3.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 xml:space="preserve">Третій рівень 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це реальна практика та поведінка учасників організації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які відображають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наскільки вірно ці цінності відтворюються в діяльності вузу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Це рівень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на якому визначається справжня організаційна культура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Важливо підтримувати відповідність між цими рівнями та сприяти розвитку організаційної культури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8"/>
          <w:szCs w:val="28"/>
          <w:shd w:val="clear" w:color="auto" w:fill="ffffff"/>
          <w:rtl w:val="0"/>
          <w:lang w:val="ru-RU"/>
        </w:rPr>
        <w:t>яка підтримує цілі та цінності МАУП</w:t>
      </w:r>
      <w:r>
        <w:rPr>
          <w:rFonts w:ascii="Times New Roman" w:hAnsi="Times New Roman"/>
          <w:spacing w:val="-4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pacing w:val="-4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Сформулюйте основні цінності Вашої групи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які можна покласти в основу корпоративної культури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pacing w:val="-3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 МАУП багато груп відділяють час для розробки та впровадження власних корпоративних цінностей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є важливим і природнім кроком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Ці цінності відіграють важливу роль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Вони надають унікальний характер групі та відрізняють її від інших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Корпоративні цінності об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єднують колектив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роблячи його цілим та єдиним у своїх прагненнях та цілях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Вони визначають норми поведінки студентів всередині групи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створюючи сприятливу атмосферу для навчання та спілкування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Ці цінності допомагають мотивувати студентів до досягнення своїх цілей та завдань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Вони регулюють взаємодію з різними сторонніми учасниками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такими як роботодавці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педагоги та партнери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Універсальні корпоративні цінності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Командний дух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Компромісність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Толерантність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Націленість на результат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досягнення диплому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Креативність та творчий підхід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Удосконалення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Партнерство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Оригінальні корпоративні цінності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Чесність і відкритість у спілкуванні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Сумлінне ставлення до навчання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Високі моральні якості усіх членів групи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Креативність та творчість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Бути прикладом для інших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Зростання та постійне навчання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Прагнення до змін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Збереження традицій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Бути біля витоків майбутнього науковця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Приумноження групових досягнень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Прояв амбіцій для досягнення успіхів у навчанні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 Spacing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Ці цінності є основними принципами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визначають діяльність групи та сприяють її успішному розвитку та досягненню цілей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Список використаної літератури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Алєкперов 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Формування іміджу освітньої установи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західний і російський варіанти 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Алєкперов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Міжнародні відносини в розвитку соціально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економічних процесів в країнах СНД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матеріали міжнар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наук</w:t>
      </w:r>
      <w:r>
        <w:rPr>
          <w:rFonts w:ascii="Times New Roman" w:hAnsi="Times New Roman"/>
          <w:sz w:val="28"/>
          <w:szCs w:val="28"/>
          <w:rtl w:val="0"/>
          <w:lang w:val="ru-RU"/>
        </w:rPr>
        <w:t>.-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14-15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червня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2001,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Омськ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Омськ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2001.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452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рошн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ченко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Зленко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Ісайкіна 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Імідж як складова корпоративної культури сучасного вищого навчального закладу 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Мірошніченко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Зленко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 xml:space="preserve">Ісайкіна 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>//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 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Економічний вісник університету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- 2017. -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Вип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34(1). - </w:t>
      </w:r>
      <w:r>
        <w:rPr>
          <w:rFonts w:ascii="Times New Roman" w:hAnsi="Times New Roman" w:hint="default"/>
          <w:sz w:val="28"/>
          <w:szCs w:val="28"/>
          <w:shd w:val="clear" w:color="auto" w:fill="f9f9f9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shd w:val="clear" w:color="auto" w:fill="f9f9f9"/>
          <w:rtl w:val="0"/>
          <w:lang w:val="ru-RU"/>
        </w:rPr>
        <w:t xml:space="preserve">. 7-15. </w:t>
      </w:r>
    </w:p>
    <w:p>
      <w:pPr>
        <w:pStyle w:val="No Spacing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Проценко 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 Імідж вузу як складова системи освіти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 Проценко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Педагогічні науки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теорія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історія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інноваційні технології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- 2015.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№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9.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 391-399.</w:t>
      </w:r>
    </w:p>
    <w:p>
      <w:pPr>
        <w:pStyle w:val="No Spacing"/>
        <w:spacing w:line="360" w:lineRule="auto"/>
        <w:ind w:firstLine="709"/>
        <w:rPr>
          <w:rFonts w:ascii="Times New Roman" w:cs="Times New Roman" w:hAnsi="Times New Roman" w:eastAsia="Times New Roman"/>
          <w:sz w:val="28"/>
          <w:szCs w:val="28"/>
          <w:shd w:val="clear" w:color="auto" w:fill="f9f9f9"/>
        </w:rPr>
      </w:pPr>
    </w:p>
    <w:p>
      <w:pPr>
        <w:pStyle w:val="No Spacing"/>
        <w:spacing w:line="360" w:lineRule="auto"/>
        <w:ind w:firstLine="709"/>
        <w:rPr>
          <w:rFonts w:ascii="Times New Roman" w:cs="Times New Roman" w:hAnsi="Times New Roman" w:eastAsia="Times New Roman"/>
          <w:sz w:val="28"/>
          <w:szCs w:val="28"/>
          <w:shd w:val="clear" w:color="auto" w:fill="f9f9f9"/>
        </w:rPr>
      </w:pPr>
    </w:p>
    <w:p>
      <w:pPr>
        <w:pStyle w:val="No Spacing"/>
        <w:spacing w:line="360" w:lineRule="auto"/>
        <w:jc w:val="both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outline w:val="0"/>
      <w:color w:val="0070c0"/>
      <w:sz w:val="28"/>
      <w:szCs w:val="28"/>
      <w:u w:color="0070c0"/>
      <w14:textFill>
        <w14:solidFill>
          <w14:srgbClr w14:val="0070C0"/>
        </w14:solidFill>
      </w14:textFill>
    </w:rPr>
  </w:style>
  <w:style w:type="numbering" w:styleId="Imported Style 4">
    <w:name w:val="Imported Style 4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