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Взаємовпливи релігії та мистецтва</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Взаємовплив релігії та мистецтва відображається в багатьох аспектах культури та суспільства. Це довгостроковий процес, що охоплює різні історичні періоди та культурні традиції. Релігія та мистецтво мають багато спільного, оскільки обидва привертають увагу до великих питань людського існування, звертаються до трансцендентних сил і виражають духовність та естетичні цінності.</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Релігійні образи, символи та ритуали відображаються у мистецтві в різних формах. Живопис, скульптура, архітектура, музика та література використовуються для передачі релігійних ідей, піднесення духовних почуттів та створення святого простору. Мистецтво може викликати емоційну реакцію у вірян, допомагати у глибшому розумінні релігійних текстів та сприяти зануренню у духовний світ.</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З іншого боку, релігія впливає на розвиток мистецтва шляхом своєї філософії, цінностей та етичних норм. Релігійні концепції можуть надихати художників, поетів та композиторів на створення творів, що відображають духовність, пошуки сенсу і внутрішню гармонію. Мистецтво може стати засобом вираження релігійних переконань, ритуалів та вірувань, а також збереження та передачі культурної спадщини релігійних громад.</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Однак, взаємовплив релігії та мист</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ецтва також може бути джерелом конфліктів і суперечностей. Релігійні догми можуть обмежувати творчу свободу митців та викликати цензуру. Крім того, релігійні суперечки та розбіжності можуть відображатися в мистецьких творах, спричиняючи дискусії та політичні напруження.</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Висновок</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Взаємовплив релігії та мистецтва є складним та багатогранним явищем. Обидва ці аспекти культури впливають один на одного, сприяючи формуванню і розвитку суспільства. Релігія може бути джерелом натхнення для мистецтва, стимулювати творчість та сприяти духовному розвитку. З іншого боку, мистецтво може викликати релігійні переживання, підсилити релігійні обряди та викликати глибоке розуміння духовних цінностей.</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Однак, важливо забезпечити баланс між свободою творчості та релігійними обмеженнями, а також враховувати різноманітність релігійних поглядів у суспільстві. Необхідно зберегти відкритий діалог та повагу до різних релігійних та художніх традицій, щоб сприяти культурному розмаїттю та толерантності.</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Особисто я вбачаю значення взаємовпливу релігії та мистецтва як засобу пізнання, вираження естетичних цінностей та пошуку духовності. Вони обидва мають потужний потенціал для змін у суспільстві та індивідуальному розвитку.</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