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Вибори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– це спосіб народного волевиявлення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коли громадяни голосують для визначення складу органів влади на різних рівнях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включаючи державну та місцеву владу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Види виборів</w:t>
      </w:r>
      <w:r>
        <w:rPr>
          <w:rFonts w:ascii="Times New Roman" w:hAnsi="Times New Roman"/>
          <w:sz w:val="24"/>
          <w:szCs w:val="24"/>
          <w:rtl w:val="0"/>
        </w:rPr>
        <w:t xml:space="preserve">:  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Прямі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Не прямі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Загальнонаціональні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Місцеві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Чергові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2"/>
        </w:numPr>
        <w:bidi w:val="0"/>
        <w:spacing w:after="151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Позачергові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2"/>
        </w:numPr>
        <w:bidi w:val="0"/>
        <w:spacing w:after="151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Повторні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"/>
        <w:spacing w:after="208" w:line="259" w:lineRule="auto"/>
        <w:ind w:lef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Функції виборів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Легітимізація влади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Реалізація народного і національного суверенітету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Забезпечення стабільності існування влади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Селекція політичних керівників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Формування та вираження суспільної думки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Body"/>
        <w:spacing w:after="159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Виборче право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 – це система норм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які регулюють порядок виборів в представницькі органи і на виборні державні посади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Принципи виборчого права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Все загальність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Рівність виборчого права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Пряме голосування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Таємне голосування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List Paragraph"/>
        <w:numPr>
          <w:ilvl w:val="0"/>
          <w:numId w:val="6"/>
        </w:numPr>
        <w:bidi w:val="0"/>
        <w:spacing w:after="161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Вільність виборів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Виборчі цензи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Ценз громадянства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Ценз осілості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Віковий ценз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Ценз статі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Релігійний ценз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;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Освітній ценз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Майновий ценз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Загальний ценз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Ценз несумісності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Body"/>
        <w:numPr>
          <w:ilvl w:val="0"/>
          <w:numId w:val="8"/>
        </w:numPr>
        <w:bidi w:val="0"/>
        <w:spacing w:after="16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Моральний ценз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Body"/>
        <w:bidi w:val="0"/>
        <w:spacing w:after="16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159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Референдум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- 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це форма волевиявлення народу шляхом голосування з важливого або суспільного питання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 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Референдуми поділяються на види за</w:t>
      </w:r>
      <w:r>
        <w:rPr>
          <w:rFonts w:ascii="Times New Roman" w:hAnsi="Times New Roman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Предметом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Часом проведення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Правовими наслідками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Юридичною силою рішень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Порядком призначення і проведення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List Paragraph"/>
        <w:numPr>
          <w:ilvl w:val="0"/>
          <w:numId w:val="10"/>
        </w:numPr>
        <w:bidi w:val="0"/>
        <w:spacing w:after="15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Територією чи місцем проведення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List Paragraph"/>
        <w:numPr>
          <w:ilvl w:val="0"/>
          <w:numId w:val="10"/>
        </w:numPr>
        <w:bidi w:val="0"/>
        <w:spacing w:after="15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Суб’єктом референдумної ініціативи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List Paragraph"/>
        <w:bidi w:val="0"/>
        <w:spacing w:after="15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щоб референдум вважався відбувшимся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необхідно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щоб у ньому взяла участь не менше половини виборців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Рішення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прийняте на референдумі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набуває чинності з моменту його опублікування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день голосування вважається днем прийняття цього рішення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Якщо питання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які раніше вже вирішувались на всеукраїнському референдумі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знову виникають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новий референдум може бути проведений не раніше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ніж через </w:t>
      </w:r>
      <w:r>
        <w:rPr>
          <w:rFonts w:ascii="Times New Roman" w:hAnsi="Times New Roman"/>
          <w:sz w:val="24"/>
          <w:szCs w:val="24"/>
          <w:rtl w:val="0"/>
        </w:rPr>
        <w:t xml:space="preserve">5 </w:t>
      </w:r>
      <w:r>
        <w:rPr>
          <w:rFonts w:ascii="Times New Roman" w:hAnsi="Times New Roman" w:hint="default"/>
          <w:sz w:val="24"/>
          <w:szCs w:val="24"/>
          <w:rtl w:val="0"/>
        </w:rPr>
        <w:t>років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А для місцевого референдуму цей термін становить не менше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ніж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</w:rPr>
        <w:t>рік від дня проведення попереднього референдуму з цих питань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776" w:right="928" w:bottom="967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5" w:line="260" w:lineRule="auto"/>
      <w:ind w:left="10" w:right="0" w:hanging="1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5" w:line="260" w:lineRule="auto"/>
      <w:ind w:left="720" w:right="0" w:hanging="1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