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right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Основи адміністративно – правового регулювання</w:t>
      </w:r>
    </w:p>
    <w:p>
      <w:pPr>
        <w:pStyle w:val="Body"/>
        <w:spacing w:after="0"/>
        <w:ind w:left="0" w:righ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10354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78"/>
        <w:gridCol w:w="8476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Поняття </w:t>
            </w:r>
          </w:p>
        </w:tc>
        <w:tc>
          <w:tcPr>
            <w:tcW w:type="dxa" w:w="8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Визначення 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Адміністративне право  </w:t>
            </w:r>
          </w:p>
        </w:tc>
        <w:tc>
          <w:tcPr>
            <w:tcW w:type="dxa" w:w="8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Система знань про сукупність правових норм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регулюють відносини управлінського характеру у названих сферах суспільства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 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Орган держави </w:t>
            </w:r>
          </w:p>
        </w:tc>
        <w:tc>
          <w:tcPr>
            <w:tcW w:type="dxa" w:w="8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Структурний елемент апарату держави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обраний колектив державних службовців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які на</w:t>
              <w:softHyphen/>
              <w:t xml:space="preserve">ділені державно владними повноваженнями 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Акти управління  </w:t>
            </w:r>
          </w:p>
        </w:tc>
        <w:tc>
          <w:tcPr>
            <w:tcW w:type="dxa" w:w="8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Владні волевиявлення суб’єктів державно</w:t>
              <w:softHyphen/>
              <w:t>го управління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які вида</w:t>
              <w:softHyphen/>
              <w:t>ються колегіально чи одноособово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спрямовані на встановлення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здійснюються у встановленому порядку на підставі і на виконання законів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08" w:right="11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Адміністративно – правова норма </w:t>
            </w:r>
          </w:p>
        </w:tc>
        <w:tc>
          <w:tcPr>
            <w:tcW w:type="dxa" w:w="8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7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Загальнообов’язкове правило поведінки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встановлюється компетентним суб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'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єктом нормотворчої діяльності і виконання якого забезпечується державою та підтримується можливістю застосування державного примусу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08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Адміністративно – правові відносини  </w:t>
            </w:r>
          </w:p>
        </w:tc>
        <w:tc>
          <w:tcPr>
            <w:tcW w:type="dxa" w:w="8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7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Врегульовані нормами адміністративного права суспільні відносини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які складаються в сфері державного управління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08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Виконавча влада  </w:t>
            </w:r>
          </w:p>
        </w:tc>
        <w:tc>
          <w:tcPr>
            <w:tcW w:type="dxa" w:w="8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39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Одна з трьох гілок державної влади відповідно до принципу розділу влади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</w:tbl>
    <w:p>
      <w:pPr>
        <w:pStyle w:val="Body"/>
        <w:widowControl w:val="0"/>
        <w:spacing w:after="0" w:line="240" w:lineRule="auto"/>
        <w:ind w:left="5" w:right="0" w:hanging="5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0" w:righ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</w:rPr>
        <w:t>Предметом галузі адміністративного права є система суспільних відносин між публічною адміністрацією та об’єктами публічного управління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виникають у сфері діяльності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наданні з метою публічного забезпечення прав і свобод людини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195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Джерела адміністративного права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bidi w:val="0"/>
        <w:spacing w:after="31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Нормативні акти законодавчого органу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spacing w:after="34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Нормативні акти органів виконавчої влади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Нормативні акти органів місцевого самоврядування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</w:rPr>
        <w:t>Принципи державного управління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Body"/>
        <w:numPr>
          <w:ilvl w:val="0"/>
          <w:numId w:val="4"/>
        </w:numPr>
        <w:bidi w:val="0"/>
        <w:spacing w:after="33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Загальні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4"/>
        </w:numPr>
        <w:bidi w:val="0"/>
        <w:spacing w:after="33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Структурні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Спеціалізовані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193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Функції державного управління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Body"/>
        <w:numPr>
          <w:ilvl w:val="0"/>
          <w:numId w:val="6"/>
        </w:numPr>
        <w:bidi w:val="0"/>
        <w:spacing w:after="33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Основні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6"/>
        </w:numPr>
        <w:bidi w:val="0"/>
        <w:spacing w:after="31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Загальні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Допоміжні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192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Методи державного управління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Body"/>
        <w:ind w:left="370" w:right="3974" w:hanging="1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</w:rPr>
        <w:t>Залежно від міри використання владних повноважень</w:t>
      </w:r>
      <w:r>
        <w:rPr>
          <w:rFonts w:ascii="Times New Roman" w:hAnsi="Times New Roman"/>
          <w:sz w:val="24"/>
          <w:szCs w:val="24"/>
          <w:rtl w:val="0"/>
        </w:rPr>
        <w:t xml:space="preserve">; 2. </w:t>
      </w:r>
      <w:r>
        <w:rPr>
          <w:rFonts w:ascii="Times New Roman" w:hAnsi="Times New Roman" w:hint="default"/>
          <w:sz w:val="24"/>
          <w:szCs w:val="24"/>
          <w:rtl w:val="0"/>
        </w:rPr>
        <w:t>Залежно від характеру впливу суб’єкта на об’єкт управління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Система органів державного управління побудована за принципом розподілу влади </w:t>
      </w:r>
    </w:p>
    <w:p>
      <w:pPr>
        <w:pStyle w:val="Body"/>
        <w:spacing w:after="191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Основні гілки державної влади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8"/>
        </w:numPr>
        <w:bidi w:val="0"/>
        <w:ind w:right="873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Законодавча влада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873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Судова влада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873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Виконавча влада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</w:rPr>
        <w:t>Класифікація актів управління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Body"/>
        <w:numPr>
          <w:ilvl w:val="0"/>
          <w:numId w:val="10"/>
        </w:numPr>
        <w:bidi w:val="0"/>
        <w:spacing w:after="33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Юридичні властивості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10"/>
        </w:numPr>
        <w:bidi w:val="0"/>
        <w:spacing w:after="34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Дія в просторі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10"/>
        </w:numPr>
        <w:bidi w:val="0"/>
        <w:spacing w:after="33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Характер компетенції органів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видають їх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Органи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видають акти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</w:rPr>
        <w:t>До системи органів виконавчої влади України належать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Кабінет Міністрів України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вищий орган виконавчої влади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Центральні органи галузевої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міжгалузевої та функціональної компетенції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міністерства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державні комітети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інші центральні органи та відомства України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Місцеві органи виконавчої влади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місцеві державні адміністрації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Розглянемо правовий статус органів виконавчої влади України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761" w:right="811" w:bottom="805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269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6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57" w:line="259" w:lineRule="auto"/>
      <w:ind w:left="10" w:right="873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57" w:line="259" w:lineRule="auto"/>
      <w:ind w:left="720" w:right="873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