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center" w:pos="2124"/>
          <w:tab w:val="center" w:pos="2832"/>
          <w:tab w:val="center" w:pos="5817"/>
        </w:tabs>
        <w:spacing w:after="161" w:line="259" w:lineRule="auto"/>
        <w:ind w:lef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Правопорушення та юридична відповідальність</w:t>
      </w:r>
    </w:p>
    <w:p>
      <w:pPr>
        <w:pStyle w:val="Body"/>
        <w:spacing w:after="1"/>
        <w:ind w:left="10" w:hanging="10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395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813"/>
        <w:gridCol w:w="6582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Поняття </w:t>
            </w:r>
          </w:p>
        </w:tc>
        <w:tc>
          <w:tcPr>
            <w:tcW w:type="dxa" w:w="6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Визначення </w:t>
            </w:r>
          </w:p>
        </w:tc>
      </w:tr>
      <w:tr>
        <w:tblPrEx>
          <w:shd w:val="clear" w:color="auto" w:fill="cdd4e9"/>
        </w:tblPrEx>
        <w:trPr>
          <w:trHeight w:val="4897" w:hRule="atLeast"/>
        </w:trPr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Правопорушення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Юридична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відповідальність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Суб’єктивна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сторона 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Форма вини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Дисциплінарний проступок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Злочин </w:t>
            </w:r>
          </w:p>
        </w:tc>
        <w:tc>
          <w:tcPr>
            <w:tcW w:type="dxa" w:w="6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39" w:lineRule="auto"/>
              <w:ind w:left="0" w:firstLine="0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Протиправне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винне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соціально шкідливе діяння делікт здатної особи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що зумовлює юридично визначені негативні наслідки для правопорушника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 </w:t>
            </w:r>
          </w:p>
          <w:p>
            <w:pPr>
              <w:pStyle w:val="Body"/>
              <w:bidi w:val="0"/>
              <w:spacing w:after="0" w:line="23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Вид соціальної відповідальності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що полягає в застосуванні державою до правопорушника певних заходів примусу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передбачених санкціями правових норм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 </w:t>
            </w:r>
          </w:p>
          <w:p>
            <w:pPr>
              <w:pStyle w:val="Body"/>
              <w:bidi w:val="0"/>
              <w:spacing w:after="0" w:line="23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це внутрішня сторона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що відображає ставлення її свідомості та волі до суспільно небезпечного діяння до його наслідків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 </w:t>
            </w:r>
          </w:p>
          <w:p>
            <w:pPr>
              <w:pStyle w:val="Body"/>
              <w:bidi w:val="0"/>
              <w:spacing w:after="3" w:line="237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Поєднання певних ознак свідомості і волі особи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яка вчиняє суспільне небезпечне діяння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 </w:t>
            </w:r>
          </w:p>
          <w:p>
            <w:pPr>
              <w:pStyle w:val="Body"/>
              <w:bidi w:val="0"/>
              <w:spacing w:after="0" w:line="23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Невиконання або неналежне виконання працівником покладених на нього чинним законодавством про працю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колективним і трудовим договорами трудових обов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'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язків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Антисоціальний вчинок людини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що посягає на відносини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що склалися в суспільстві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і становить небезпеку суспільному розвитку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</w:p>
        </w:tc>
      </w:tr>
    </w:tbl>
    <w:p>
      <w:pPr>
        <w:pStyle w:val="Body"/>
        <w:widowControl w:val="0"/>
        <w:spacing w:after="1" w:line="240" w:lineRule="auto"/>
        <w:ind w:left="5" w:hanging="5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after="158" w:line="259" w:lineRule="auto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spacing w:after="158"/>
        <w:ind w:left="10" w:hanging="1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Причини правопорушень</w:t>
      </w:r>
      <w:r>
        <w:rPr>
          <w:rFonts w:ascii="Times New Roman" w:hAnsi="Times New Roman"/>
          <w:rtl w:val="0"/>
        </w:rPr>
        <w:t xml:space="preserve">: </w:t>
      </w:r>
    </w:p>
    <w:p>
      <w:pPr>
        <w:pStyle w:val="Body"/>
        <w:spacing w:after="195"/>
        <w:ind w:left="10" w:hanging="1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Індивідуальні</w:t>
      </w:r>
      <w:r>
        <w:rPr>
          <w:rFonts w:ascii="Times New Roman" w:hAnsi="Times New Roman"/>
          <w:rtl w:val="0"/>
        </w:rPr>
        <w:t xml:space="preserve">: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Відсутність правової культури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Правовий нігілізм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spacing w:after="161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Неповага до права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Body"/>
        <w:spacing w:after="192"/>
        <w:ind w:left="10" w:hanging="1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Соціальні</w:t>
      </w:r>
      <w:r>
        <w:rPr>
          <w:rFonts w:ascii="Times New Roman" w:hAnsi="Times New Roman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Низька заробітна плата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Відсутність правової освіти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List Paragraph"/>
        <w:numPr>
          <w:ilvl w:val="0"/>
          <w:numId w:val="4"/>
        </w:numPr>
        <w:bidi w:val="0"/>
        <w:spacing w:after="161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Невідповідність потреб та можливостей </w:t>
      </w:r>
    </w:p>
    <w:p>
      <w:pPr>
        <w:pStyle w:val="Body"/>
        <w:spacing w:after="194"/>
        <w:ind w:left="10" w:hanging="1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Види правопорушень</w:t>
      </w:r>
      <w:r>
        <w:rPr>
          <w:rFonts w:ascii="Times New Roman" w:hAnsi="Times New Roman"/>
          <w:rtl w:val="0"/>
        </w:rPr>
        <w:t xml:space="preserve">: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Адміністративні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Цивільні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Кримінальні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List Paragraph"/>
        <w:numPr>
          <w:ilvl w:val="0"/>
          <w:numId w:val="6"/>
        </w:numPr>
        <w:bidi w:val="0"/>
        <w:spacing w:after="1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Матеріальні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List Paragraph"/>
        <w:numPr>
          <w:ilvl w:val="0"/>
          <w:numId w:val="6"/>
        </w:numPr>
        <w:bidi w:val="0"/>
        <w:spacing w:after="1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Дисциплінарні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List Paragraph"/>
        <w:bidi w:val="0"/>
        <w:spacing w:after="1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List Paragraph"/>
        <w:bidi w:val="0"/>
        <w:spacing w:after="1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List Paragraph"/>
        <w:bidi w:val="0"/>
        <w:spacing w:after="1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List Paragraph"/>
        <w:bidi w:val="0"/>
        <w:spacing w:after="1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List Paragraph"/>
        <w:bidi w:val="0"/>
        <w:spacing w:after="1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List Paragraph"/>
        <w:bidi w:val="0"/>
        <w:spacing w:after="1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List Paragraph"/>
        <w:bidi w:val="0"/>
        <w:spacing w:after="1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List Paragraph"/>
        <w:bidi w:val="0"/>
        <w:spacing w:after="1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List Paragraph"/>
        <w:bidi w:val="0"/>
        <w:spacing w:after="1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List Paragraph"/>
        <w:bidi w:val="0"/>
        <w:spacing w:after="1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List Paragraph"/>
        <w:bidi w:val="0"/>
        <w:spacing w:after="1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spacing w:after="1"/>
        <w:ind w:left="345" w:firstLine="0"/>
        <w:rPr>
          <w:rFonts w:ascii="Times New Roman" w:cs="Times New Roman" w:hAnsi="Times New Roman" w:eastAsia="Times New Roman"/>
        </w:rPr>
      </w:pPr>
    </w:p>
    <w:tbl>
      <w:tblPr>
        <w:tblW w:w="10459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39"/>
        <w:gridCol w:w="8620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Поняття </w:t>
            </w:r>
          </w:p>
        </w:tc>
        <w:tc>
          <w:tcPr>
            <w:tcW w:type="dxa" w:w="8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Визначення </w:t>
            </w:r>
          </w:p>
        </w:tc>
      </w:tr>
      <w:tr>
        <w:tblPrEx>
          <w:shd w:val="clear" w:color="auto" w:fill="cdd4e9"/>
        </w:tblPrEx>
        <w:trPr>
          <w:trHeight w:val="499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Склад правопорушень </w:t>
            </w:r>
          </w:p>
        </w:tc>
        <w:tc>
          <w:tcPr>
            <w:tcW w:type="dxa" w:w="8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Сукупність суб’єктивних та об’єктивних ознак вчиненого діяння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які дозволяють кваліфікувати його як правопорушення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</w:p>
        </w:tc>
      </w:tr>
    </w:tbl>
    <w:p>
      <w:pPr>
        <w:pStyle w:val="Body"/>
        <w:widowControl w:val="0"/>
        <w:spacing w:after="1" w:line="240" w:lineRule="auto"/>
        <w:ind w:left="5" w:hanging="5"/>
        <w:rPr>
          <w:rFonts w:ascii="Times New Roman" w:cs="Times New Roman" w:hAnsi="Times New Roman" w:eastAsia="Times New Roman"/>
        </w:rPr>
      </w:pPr>
    </w:p>
    <w:p>
      <w:pPr>
        <w:pStyle w:val="Body"/>
        <w:spacing w:after="160" w:line="259" w:lineRule="auto"/>
        <w:ind w:left="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spacing w:after="194"/>
        <w:ind w:left="10" w:hanging="1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Види юридичної відповідальності</w:t>
      </w:r>
      <w:r>
        <w:rPr>
          <w:rFonts w:ascii="Times New Roman" w:hAnsi="Times New Roman"/>
          <w:rtl w:val="0"/>
        </w:rPr>
        <w:t xml:space="preserve">: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Кримінальна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Адміністративна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Цивільно – правова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Дисциплінарна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Матеріальна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List Paragraph"/>
        <w:numPr>
          <w:ilvl w:val="0"/>
          <w:numId w:val="8"/>
        </w:numPr>
        <w:bidi w:val="0"/>
        <w:spacing w:after="159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Конституційна</w:t>
      </w:r>
      <w:r>
        <w:rPr>
          <w:rFonts w:ascii="Times New Roman" w:hAnsi="Times New Roman"/>
          <w:rtl w:val="0"/>
        </w:rPr>
        <w:t xml:space="preserve">.  </w:t>
      </w:r>
    </w:p>
    <w:p>
      <w:pPr>
        <w:pStyle w:val="List Paragraph"/>
        <w:bidi w:val="0"/>
        <w:spacing w:after="159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spacing w:after="192"/>
        <w:ind w:left="10" w:hanging="1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Підстави юридичної відповідальності</w:t>
      </w:r>
      <w:r>
        <w:rPr>
          <w:rFonts w:ascii="Times New Roman" w:hAnsi="Times New Roman"/>
          <w:rtl w:val="0"/>
        </w:rPr>
        <w:t xml:space="preserve">: </w:t>
      </w:r>
    </w:p>
    <w:p>
      <w:pPr>
        <w:pStyle w:val="List Paragraph"/>
        <w:numPr>
          <w:ilvl w:val="0"/>
          <w:numId w:val="10"/>
        </w:numPr>
        <w:bidi w:val="0"/>
        <w:spacing w:after="162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Перша підстава стосується діянь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які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хоча мають ознаки певного правопорушення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вважаються прийнятними або суспільно корисними через певні обставини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Іншими словами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ці дії можуть бути виправданими або допустимими через їх соціальну корисність</w:t>
      </w:r>
      <w:r>
        <w:rPr>
          <w:rFonts w:ascii="Times New Roman" w:hAnsi="Times New Roman"/>
          <w:rtl w:val="0"/>
        </w:rPr>
        <w:t>.</w:t>
      </w:r>
    </w:p>
    <w:p>
      <w:pPr>
        <w:pStyle w:val="List Paragraph"/>
        <w:numPr>
          <w:ilvl w:val="0"/>
          <w:numId w:val="10"/>
        </w:numPr>
        <w:bidi w:val="0"/>
        <w:spacing w:after="162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Друга підстава стосується діянь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які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незважаючи на 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що закон визнає їх протиправними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можуть бути звільнені від юридичної відповідальності через обставини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такі як умови вчинення дії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індивідуальні особливості винниці або інші обставини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які ускладнюють застосування правових заходів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Body"/>
        <w:spacing w:after="0" w:line="259" w:lineRule="auto"/>
        <w:ind w:left="0" w:firstLine="0"/>
      </w:pPr>
      <w:r>
        <w:rPr>
          <w:rFonts w:ascii="Times New Roman" w:hAnsi="Times New Roman"/>
          <w:rtl w:val="0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761" w:right="770" w:bottom="1086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3" w:line="258" w:lineRule="auto"/>
      <w:ind w:left="5675" w:right="0" w:hanging="1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3" w:line="258" w:lineRule="auto"/>
      <w:ind w:left="720" w:right="0" w:hanging="1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