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Стисло розкрити сутність філософії Нового часу</w:t>
      </w:r>
    </w:p>
    <w:p>
      <w:pPr>
        <w:pStyle w:val="Обычный"/>
        <w:ind w:firstLine="709"/>
        <w:jc w:val="both"/>
      </w:pPr>
      <w:r>
        <w:rPr>
          <w:sz w:val="28"/>
          <w:szCs w:val="28"/>
          <w:rtl w:val="0"/>
          <w:lang w:val="ru-RU"/>
        </w:rPr>
        <w:t xml:space="preserve">  Філософія Нового часу виникла завдяки історичним обставинам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таким як розвиток буржуазного способу виробництва в Західній Європі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наукова революція </w:t>
      </w:r>
      <w:r>
        <w:rPr>
          <w:sz w:val="28"/>
          <w:szCs w:val="28"/>
          <w:rtl w:val="0"/>
          <w:lang w:val="ru-RU"/>
        </w:rPr>
        <w:t>XVI</w:t>
      </w:r>
      <w:r>
        <w:rPr>
          <w:sz w:val="28"/>
          <w:szCs w:val="28"/>
          <w:rtl w:val="0"/>
          <w:lang w:val="ru-RU"/>
        </w:rPr>
        <w:t>—</w:t>
      </w:r>
      <w:r>
        <w:rPr>
          <w:sz w:val="28"/>
          <w:szCs w:val="28"/>
          <w:rtl w:val="0"/>
          <w:lang w:val="ru-RU"/>
        </w:rPr>
        <w:t xml:space="preserve">XVII </w:t>
      </w:r>
      <w:r>
        <w:rPr>
          <w:sz w:val="28"/>
          <w:szCs w:val="28"/>
          <w:rtl w:val="0"/>
          <w:lang w:val="ru-RU"/>
        </w:rPr>
        <w:t>століть і зростання експериментального природознавства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Її принципи були сформовані в контексті боротьби проти феодальної ідеології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середньовічної схоластики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релігії та церкви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вона спадкувала духовні цінності епохи Відродження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 найважливішою її особливістю була акція на природознавство та тісний зв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язок із методологією наукового пізнання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Філософи Нового часу розглядали науку як головний інструмент для досягнення морального і соціального прогресу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встановлення гідності людини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її свободи та щастя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br w:type="textWrapping"/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Як розв’язується проблема методу пізнання 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Філософи Нового часу розглядали методологію наукового пізнання як результат вивчення загальнофілософських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метафізичних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принципів осмислення буття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основним питанням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викликало їхній інтерес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була сутність субстанції як основи існування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Наприклад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Паскаль звертався до світоглядного осмислення людського буття для обґрунтування своєї методології пізнання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той час як інші філософи того періоду намагалися знайти сутність буття в категорії субстанції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них субстанція визначалася як істинне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суттєве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самодостатнє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самопричинне буття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породжує всю багатоманітність світу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</w:pPr>
      <w:r>
        <w:rPr>
          <w:sz w:val="28"/>
          <w:szCs w:val="28"/>
          <w:rtl w:val="0"/>
          <w:lang w:val="ru-RU"/>
        </w:rPr>
        <w:t>Ця субстанція розглядалася як Єдине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органічна і гармонійна єдність духовного і природного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Філософи Нового часу намагалися переосмислити та уточнити цю сутність на основі нових досягнень наукового пізнання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</w:rPr>
        <w:t>В</w:t>
      </w:r>
      <w:r>
        <w:rPr>
          <w:b w:val="1"/>
          <w:bCs w:val="1"/>
          <w:sz w:val="28"/>
          <w:szCs w:val="28"/>
          <w:rtl w:val="0"/>
          <w:lang w:val="ru-RU"/>
        </w:rPr>
        <w:t xml:space="preserve">изначити гносеологічні напрями емпіризму та раціоналізму 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Філософія Нового часу справді була впливовим періодом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її розвиток відображав нерівномірність соціального розвитку в Європі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цей час відбувалися різні історичні події та зміни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це відобразилося у філософських доктринах того часу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Наприклад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Англія переживала буржуазну революцію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сприяло зміцненню буржуазних ідей і поширенню філософії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спрямованої на підтримку прав людини і індивідуальної свободи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Франції домінував абсолютизм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але також відбувалися рухи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підштовхували до революційних змін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Італії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через перемогу контрреформації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філософський розвиток був обмежений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Однак усі ці різні національні школи і філософи мали спільну мету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знайти спосіб пізнати істину і побудувати більш раціональне та справедливе суспільство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Це призвело до двох основних філософських традицій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емпіризму і раціоналізму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Емпіризм визнає чуттєвий досвід як основу для отримання знань і вважає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істинність полягає в спостереженнях і дослідженнях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Раціоналізм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навпаки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вбачає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розум є основою пізнання і вважає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розум може розвивати абсолютну істину через логічне мислення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Обидва напрями спрямовані на піднесення ролі розуму та індивідуальної свободи в суспільстві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Раціоналізм робить ставку на розум як критерій істини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водночас емпіризм розглядає чуттєвий досвід як визначальний фактор у формуванні знань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Ця дихотомія між раціоналізмом і емпіризмом стала однією з ключових рис філософії Нового часу і відображала різноманітні підходи до пізнання світу і становлення людського суспільства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Який зміст агностицизму та індетермінізму</w:t>
      </w:r>
      <w:r>
        <w:rPr>
          <w:b w:val="1"/>
          <w:bCs w:val="1"/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Д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 xml:space="preserve">Юма 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Щодо релігійних аспектів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Девід Г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юм виступав як сильний сумнівник щодо існування Бога і навіть відмовився від причастя перед своєю смертю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Такий скептицизм та схильність до атеїзму були типовими рисами його поглядів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відображали філософію Просвітництва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Багато французьких просвітителів вважали Г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юма спільнодумцем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Девід Г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юм базував свої думки на тому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людина живе у світі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який складається з даних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отриманих через відчуття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Він висловлював переконання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ми ніколи не зможемо відкрити істину та реальність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яка заходить за межі наших відчуттів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оскільки ми не можемо виходити за межі цієї сфери відчуттів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юм захищав позицію агностицизму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основану на феноменалізмі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обмежує пізнання явищами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Він вважав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навіть на кращий випадок ми можемо робити лише приблизні та гіпотетичні висловлювання про реальність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яка лежить за межами нашої свідомості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ніколи не зможемо повністю її підтвердити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Для Г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юма все відчуття поділялося на дві категорії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враження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безпосередні відчуття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 ідеї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поняття та уявлення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які виникали на основі спогадів про враження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Ідеї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 Юмом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були своєрідним відображенням вражень у свідомості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але менш яскравими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Він також відзначав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у свідомості ідеї керувалися вільно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 той час як враження менше підлягали контролю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процесі пізнання ідеї стирали неповторно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одиничні характеристики речей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призводило до утворення абстракцій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</w:pPr>
    </w:p>
    <w:p>
      <w:pPr>
        <w:pStyle w:val="Обычный (веб)"/>
        <w:ind w:firstLine="709"/>
        <w:jc w:val="both"/>
      </w:pP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Дати характеристику французького Просвітництва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механістичного матеріалізму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науки та прогресу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Французьке Просвітництво справді вважається передвісником буржуазної революції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яка вибухнула у </w:t>
      </w:r>
      <w:r>
        <w:rPr>
          <w:sz w:val="28"/>
          <w:szCs w:val="28"/>
          <w:rtl w:val="0"/>
          <w:lang w:val="ru-RU"/>
        </w:rPr>
        <w:t xml:space="preserve">1789 </w:t>
      </w:r>
      <w:r>
        <w:rPr>
          <w:sz w:val="28"/>
          <w:szCs w:val="28"/>
          <w:rtl w:val="0"/>
          <w:lang w:val="ru-RU"/>
        </w:rPr>
        <w:t>році в Франції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Основні принципи цього руху включали в себе гасла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наука і прогрес</w:t>
      </w:r>
      <w:r>
        <w:rPr>
          <w:sz w:val="28"/>
          <w:szCs w:val="28"/>
          <w:rtl w:val="0"/>
          <w:lang w:val="ru-RU"/>
        </w:rPr>
        <w:t xml:space="preserve">". </w:t>
      </w:r>
      <w:r>
        <w:rPr>
          <w:sz w:val="28"/>
          <w:szCs w:val="28"/>
          <w:rtl w:val="0"/>
          <w:lang w:val="ru-RU"/>
        </w:rPr>
        <w:t>Просвітництво допомогло поширити наукові знання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раніше були обмежені вузьким колом вчених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серед широкого кола освічених представників різних галузей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включаючи природознавців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культурні фігури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митців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політиків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юристів та філософів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Філософи Просвітництва акцентували увагу на популяризації корисних та позитивних знань серед широкого загалу освічених осіб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Вони вважали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правителі мають бути залучені до наукових знань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щоб сприяти розумовому прогресу в кожній країні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Однією з основних мет філософів Просвітництва було відмовитися від релігії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оскільки нові знання про природу та суспільство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отримані через науковий метод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часто суперечили догмам релігії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Матеріалізм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це філософський напрямок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який стверджує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матерія є первинною і основною складовою реальності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що ідеї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свідомість і дух є вторинними і виникають внаслідок взаємодії матерії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Існують різні варіації матеріалізму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і одна з них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механічний матеріалізм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розглядає явища як результат механічної взаємодії матеріальних частинок відповідно до законів механіки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Механічний матеріалізм може зводити всі аспекти реальності до матеріальних частинок та механічних законів 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таким чином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надає метафізичне пояснення природи явищ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Такий матеріалізм застосовує механічний підхід до розуміння світу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іноді ігноруючи складність і багатогранність реальності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</w:pPr>
      <w:r>
        <w:rPr>
          <w:sz w:val="28"/>
          <w:szCs w:val="28"/>
          <w:rtl w:val="0"/>
          <w:lang w:val="ru-RU"/>
        </w:rPr>
        <w:t>Загалом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французьке Просвітництво та матеріалізм були важливими філософськими напрямами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сприяли поширенню раціональних та наукових підходів до розуміння світу</w:t>
      </w:r>
      <w:r>
        <w:rPr>
          <w:sz w:val="28"/>
          <w:szCs w:val="28"/>
          <w:rtl w:val="0"/>
          <w:lang w:val="ru-RU"/>
        </w:rPr>
        <w:t>.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