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黑体"/>
          <w:b/>
          <w:i w:val="0"/>
          <w:sz w:val="32"/>
        </w:rPr>
        <w:t>安徽新华学院本科毕业论文（设计）课题任务书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课题名称</w:t>
            </w:r>
          </w:p>
        </w:tc>
        <w:tc>
          <w:tcPr>
            <w:tcW w:type="dxa" w:w="2160"/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基于 Python 的外卖平台的管理与实现</w:t>
            </w:r>
          </w:p>
        </w:tc>
        <w:tc>
          <w:tcPr>
            <w:tcW w:type="dxa" w:w="2160"/>
          </w:tcPr>
          <w:p>
            <w:pPr>
              <w:spacing w:line="276" w:lineRule="auto" w:after="40"/>
              <w:jc w:val="center"/>
            </w:pPr>
          </w:p>
        </w:tc>
        <w:tc>
          <w:tcPr>
            <w:tcW w:type="dxa" w:w="2160"/>
          </w:tcPr>
          <w:p>
            <w:pPr>
              <w:spacing w:line="276" w:lineRule="auto" w:after="40"/>
              <w:jc w:val="center"/>
            </w:pP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开题单位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大数据与人工智能学院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</w:p>
        </w:tc>
        <w:tc>
          <w:tcPr>
            <w:tcW w:type="dxa" w:w="2160"/>
          </w:tcPr>
          <w:p>
            <w:pPr>
              <w:spacing w:line="276" w:lineRule="auto" w:after="40"/>
            </w:pP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选题性质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B（设计）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选题类型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C（设计型）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选题来源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B（实验实训）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选题难度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C（中等）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指导教师（职称/学位）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XXX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往年是否指导过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实践时间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 周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每周约定指导时间</w:t>
            </w:r>
          </w:p>
        </w:tc>
        <w:tc>
          <w:tcPr>
            <w:tcW w:type="dxa" w:w="2160"/>
          </w:tcPr>
          <w:p>
            <w:pPr>
              <w:spacing w:line="276" w:lineRule="auto" w:after="40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每周三下午，办公室或电话、微信、QQ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课题意义及要求</w:t>
      </w:r>
    </w:p>
    <w:p>
      <w:r>
        <w:rPr>
          <w:rFonts w:ascii="Times New Roman" w:hAnsi="Times New Roman" w:eastAsia="宋体"/>
          <w:b/>
          <w:i w:val="0"/>
          <w:sz w:val="24"/>
        </w:rPr>
        <w:t>意义：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本课题旨在设计并实现一个基于 Python 的多商户外卖平台。随着移动互联网与即时配送行业的快速发展，网络订餐已成为餐饮消费的重要形态。以美团、饿了么为代表的平台本质上都是"一个平台、多方参与"的多商户系统：平台方接入并审核商户，商户维护自有菜品与订单，骑手提供配送运力，消费者跨商户浏览下单。这种业务形态对系统的数据隔离、权限控制与交易一致性提出了较高要求，是检验完整业务系统设计能力的良好载体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本课题在实现多商户核心业务闭环（商户入驻审核、菜品管理、购物车、下单、模拟支付、订单流转、轻量配送、评价）的基础上，进一步探索大语言模型在业务系统中的安全落地问题：设计"待确认订单草稿 + 后端重校验 + 顾客确认 + 全程审计"的受控 AI 下单机制，使大语言模型在承担自然语言交互职责的同时，无法直接影响真实数据与交易安全。本课题涵盖 Web 全栈开发、数据库设计、状态机建模、认证与越权防范、大语言模型函数调用等当前主流技术，对提升工程实践能力与安全设计意识具有综合训练价值，成果可直接用于教学演示，并为中小型多商户平台开发提供参考。</w:t>
      </w:r>
    </w:p>
    <w:p>
      <w:r>
        <w:rPr>
          <w:rFonts w:ascii="Times New Roman" w:hAnsi="Times New Roman" w:eastAsia="宋体"/>
          <w:b/>
          <w:i w:val="0"/>
          <w:sz w:val="24"/>
        </w:rPr>
        <w:t>要求：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本系统要求采用前后端分离的架构实现。后端基于 Python 语言与 Django 框架开发，提供统一格式（</w:t>
      </w:r>
      <w:r>
        <w:rPr>
          <w:rFonts w:ascii="Consolas" w:hAnsi="Consolas" w:eastAsia="Consolas"/>
          <w:b w:val="0"/>
          <w:i w:val="0"/>
          <w:sz w:val="23"/>
        </w:rPr>
        <w:t>{code, info, data}</w:t>
      </w:r>
      <w:r>
        <w:rPr>
          <w:rFonts w:ascii="Times New Roman" w:hAnsi="Times New Roman" w:eastAsia="宋体"/>
          <w:b w:val="0"/>
          <w:i w:val="0"/>
          <w:sz w:val="24"/>
        </w:rPr>
        <w:t>）的 JSON 接口；数据库默认使用 SQLite 实现零配置运行，并支持通过环境变量切换至 MySQL 8；前端采用 Vue 3 + Vite + TypeScript 构建顾客端、商户端、骑手端三个独立单页应用，平台运营端由 Django Admin 承载；AI 能力通过大语言模型函数调用（OpenAI 兼容接口）实现，模型凭据未配置时须支持内置降级实现，保证系统随时可运行演示。</w:t>
      </w:r>
    </w:p>
    <w:p>
      <w:r>
        <w:rPr>
          <w:rFonts w:ascii="Times New Roman" w:hAnsi="Times New Roman" w:eastAsia="宋体"/>
          <w:b w:val="0"/>
          <w:i w:val="0"/>
          <w:sz w:val="24"/>
        </w:rPr>
        <w:t>系统需完成以下核心功能：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（1）</w:t>
      </w:r>
      <w:r>
        <w:rPr>
          <w:rFonts w:ascii="Times New Roman" w:hAnsi="Times New Roman" w:eastAsia="宋体"/>
          <w:b/>
          <w:i w:val="0"/>
          <w:sz w:val="24"/>
        </w:rPr>
        <w:t>顾客端</w:t>
      </w:r>
      <w:r>
        <w:rPr>
          <w:rFonts w:ascii="Times New Roman" w:hAnsi="Times New Roman" w:eastAsia="宋体"/>
          <w:b w:val="0"/>
          <w:i w:val="0"/>
          <w:sz w:val="24"/>
        </w:rPr>
        <w:t>：手机号验证码登录；浏览已通过审核的商户与菜品；购物车管理；选择收货地址下单；模拟支付；订单列表、详情与状态跟踪；在允许范围内取消订单；对符合条件的订单发起退款申请并跟踪退款进度（退款为后期实现项）；收货地址管理；对已完成订单进行评价；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</w:t>
      </w:r>
      <w:r>
        <w:rPr>
          <w:rFonts w:ascii="Times New Roman" w:hAnsi="Times New Roman" w:eastAsia="宋体"/>
          <w:b/>
          <w:i w:val="0"/>
          <w:sz w:val="24"/>
        </w:rPr>
        <w:t>商户端</w:t>
      </w:r>
      <w:r>
        <w:rPr>
          <w:rFonts w:ascii="Times New Roman" w:hAnsi="Times New Roman" w:eastAsia="宋体"/>
          <w:b w:val="0"/>
          <w:i w:val="0"/>
          <w:sz w:val="24"/>
        </w:rPr>
        <w:t>：注册并提交入驻申请（店铺名称、联系电话、地址、简介）；账号密码登录；查看审核状态（审核通过前不得使用经营功能）；菜品分类与菜品管理（上下架、价格与可售数量）；订单处理（接单、取消；订单的完成由骑手送达确认触发）；营业信息维护与真实数据统计（订单数、营业额、营收趋势、热销菜品）；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</w:t>
      </w:r>
      <w:r>
        <w:rPr>
          <w:rFonts w:ascii="Times New Roman" w:hAnsi="Times New Roman" w:eastAsia="宋体"/>
          <w:b/>
          <w:i w:val="0"/>
          <w:sz w:val="24"/>
        </w:rPr>
        <w:t>骑手端</w:t>
      </w:r>
      <w:r>
        <w:rPr>
          <w:rFonts w:ascii="Times New Roman" w:hAnsi="Times New Roman" w:eastAsia="宋体"/>
          <w:b w:val="0"/>
          <w:i w:val="0"/>
          <w:sz w:val="24"/>
        </w:rPr>
        <w:t>：账号密码登录；查看待接单列表；接单（接单即进入配送中）；确认送达；查看本人任务与今日完成单数；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（4）</w:t>
      </w:r>
      <w:r>
        <w:rPr>
          <w:rFonts w:ascii="Times New Roman" w:hAnsi="Times New Roman" w:eastAsia="宋体"/>
          <w:b/>
          <w:i w:val="0"/>
          <w:sz w:val="24"/>
        </w:rPr>
        <w:t>平台运营端</w:t>
      </w:r>
      <w:r>
        <w:rPr>
          <w:rFonts w:ascii="Times New Roman" w:hAnsi="Times New Roman" w:eastAsia="宋体"/>
          <w:b w:val="0"/>
          <w:i w:val="0"/>
          <w:sz w:val="24"/>
        </w:rPr>
        <w:t>：商户入驻审核（通过/驳回）；商户、顾客、订单查询；骑手账号维护；平台数据统计；操作日志查看（含 AI 工具调用记录）；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（5）</w:t>
      </w:r>
      <w:r>
        <w:rPr>
          <w:rFonts w:ascii="Times New Roman" w:hAnsi="Times New Roman" w:eastAsia="宋体"/>
          <w:b/>
          <w:i w:val="0"/>
          <w:sz w:val="24"/>
        </w:rPr>
        <w:t>AI 点餐助手（创新点）</w:t>
      </w:r>
      <w:r>
        <w:rPr>
          <w:rFonts w:ascii="Times New Roman" w:hAnsi="Times New Roman" w:eastAsia="宋体"/>
          <w:b w:val="0"/>
          <w:i w:val="0"/>
          <w:sz w:val="24"/>
        </w:rPr>
        <w:t>：顾客端内置，支持多轮对话收集下单信息（商户、菜品、数量、地址），由模型调用后端工具生成</w:t>
      </w:r>
      <w:r>
        <w:rPr>
          <w:rFonts w:ascii="Times New Roman" w:hAnsi="Times New Roman" w:eastAsia="宋体"/>
          <w:b/>
          <w:i w:val="0"/>
          <w:sz w:val="24"/>
        </w:rPr>
        <w:t>待确认订单草稿</w:t>
      </w:r>
      <w:r>
        <w:rPr>
          <w:rFonts w:ascii="Times New Roman" w:hAnsi="Times New Roman" w:eastAsia="宋体"/>
          <w:b w:val="0"/>
          <w:i w:val="0"/>
          <w:sz w:val="24"/>
        </w:rPr>
        <w:t>；草稿中的价格、库存与商户归属须由后端以数据库现状重新校验；顾客确认后由服务端将草稿转为正式订单并进入支付流程；支持对话式催单与辅助评价；AI 每次工具调用须写入操作审计日志，且不得存在免认证的 AI 接口。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技术实现上，要求落实订单状态机（合法状态迁移校验与迁移日志）、四类角色独立令牌认证、服务端数据作用域隔离（防止跨商户、跨顾客、跨骑手越权）等关键机制，并以测试用例验证越权请求与非法状态迁移均被正确拦截。最终论文的撰写需完整呈现从需求分析、系统设计、编码实现到测试与部署的全过程，并提供清晰的核心代码与界面展示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学生承担的任务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sz w:val="24"/>
        </w:rPr>
        <w:t>1. 完成多商户外卖平台的需求分析与总体方案设计（角色建模、用例分析、数据库设计）；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sz w:val="24"/>
        </w:rPr>
        <w:t>2. 完成后端核心业务模块的编码实现（商户入驻与审核、菜品、订单状态机、支付、配送、评价）；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sz w:val="24"/>
        </w:rPr>
        <w:t>3. 完成 AI 点餐助手的工具调用链路与受控下单机制（草稿单、后端重校验、操作审计）的实现；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sz w:val="24"/>
        </w:rPr>
        <w:t>4. 完成三端前端界面的开发与前后端联调，完成后端自动化测试与 AI 功能量化评估；</w:t>
      </w:r>
    </w:p>
    <w:p>
      <w:pPr>
        <w:spacing w:line="360" w:lineRule="auto"/>
        <w:ind w:left="360"/>
      </w:pPr>
      <w:r>
        <w:rPr>
          <w:rFonts w:ascii="Times New Roman" w:hAnsi="Times New Roman" w:eastAsia="宋体"/>
          <w:b w:val="0"/>
          <w:i w:val="0"/>
          <w:sz w:val="24"/>
        </w:rPr>
        <w:t>5. 完成毕业论文的撰写，并准备系统演示与毕业答辩。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学生提交的成果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毕业论文 1 篇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系统源代码及部署说明文档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主要参考文献</w:t>
      </w:r>
    </w:p>
    <w:p>
      <w:pPr>
        <w:spacing w:line="312" w:lineRule="auto"/>
        <w:ind w:left="36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说明：以下 10 篇文献均为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2021—2026 年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（近五年）的公开出版物，文献信息已联网核实（刊名、年卷期、页码取自期刊官网或权威数据库）。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[1] 侯泽敏, 綦勇, 李文龙. 考虑消费者配送时间敏感度的外卖平台盈利模式选择[J]. 管理评论, 2023, 35(3): 172-182.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[2] 黄笑倩, 刘莉莎, 卢书缘, 等. 校园"掌上食堂"APP的分析与设计[J]. 科技与创新, 2022(18): 104-109.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[3] 张乐. 高校食堂自助点餐系统设计与实现[J]. 电脑与信息技术, 2024, 32(2): 51-53.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[4] 王馗, 吴勇灵. 基于微信小程序的点餐系统设计与实现[J]. 现代信息科技, 2023, 7(22): 30-35+39.</w:t>
      </w:r>
    </w:p>
    <w:p>
      <w:r>
        <w:rPr>
          <w:rFonts w:ascii="Times New Roman" w:hAnsi="Times New Roman" w:eastAsia="宋体"/>
          <w:b w:val="0"/>
          <w:i w:val="0"/>
          <w:sz w:val="24"/>
        </w:rPr>
        <w:t>[5] 李章恒. 校园外卖系统设计与实现[D]. 济南: 山东大学, 2022.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[6] 董益宏, 姜雪, 钱家如, 等. 基于大语言模型智能体的代码生成综述[J]. 软件学报, 2026, 37(8): 3089-3115.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[7] 王骞玥, 胡晋武, 王宇丰, 等. 大语言模型驱动的可信政务问答技术[J]. 软件学报, 2026, 37(4): 1740-1758.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[8] Qin Y, Liang S, Ye Y, et al. ToolLLM: Facilitating Large Language Models to Master 16000+ Real-World APIs[C]//The Twelfth International Conference on Learning Representations (ICLR), 2024.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[9] Patil S G, Zhang T, Wang X, et al. Gorilla: Large Language Model Connected with Massive APIs[C]//Advances in Neural Information Processing Systems (NeurIPS), 2024, 37: 126544-126565.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[10] Wang L, Ma C, Feng X, et al. A survey on large language model based autonomous agents[J]. Frontiers of Computer Science, 2024, 18(6): 186345.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需要的实验条件</w:t>
      </w:r>
    </w:p>
    <w:p>
      <w:r>
        <w:rPr>
          <w:rFonts w:ascii="Times New Roman" w:hAnsi="Times New Roman" w:eastAsia="宋体"/>
          <w:b/>
          <w:i w:val="0"/>
          <w:sz w:val="24"/>
        </w:rPr>
        <w:t>硬件：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操作系统：Windows 11 专业版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CPU：四核 2.0GHz 以上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内存：8GB 以上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磁盘：20GB 以上可用空间</w:t>
      </w:r>
    </w:p>
    <w:p>
      <w:r>
        <w:rPr>
          <w:rFonts w:ascii="Times New Roman" w:hAnsi="Times New Roman" w:eastAsia="宋体"/>
          <w:b/>
          <w:i w:val="0"/>
          <w:sz w:val="24"/>
        </w:rPr>
        <w:t>软件：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开发语言与框架：Python 3.12、Django 6.1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前端环境：Node.js 22、Vue 3、Vite、TypeScript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数据库：SQLite（默认，零配置）；可选 MySQL 8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开发工具：Visual Studio Code / PyCharm、Git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接口测试工具：Postman / curl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i w:val="0"/>
          <w:sz w:val="24"/>
        </w:rPr>
        <w:t>模型服务：大语言模型对话接口（OpenAI 兼容 API，按量调用；未配置时使用内置规则化实现，保证离线可运行）</w:t>
      </w:r>
    </w:p>
    <w:p>
      <w:pPr>
        <w:spacing w:before="240" w:after="120"/>
      </w:pPr>
      <w:r>
        <w:rPr>
          <w:rFonts w:ascii="Times New Roman" w:hAnsi="Times New Roman" w:eastAsia="黑体"/>
          <w:b/>
          <w:i w:val="0"/>
          <w:sz w:val="28"/>
        </w:rPr>
        <w:t>备 注</w:t>
      </w:r>
    </w:p>
    <w:p>
      <w:r>
        <w:rPr>
          <w:rFonts w:ascii="Times New Roman" w:hAnsi="Times New Roman" w:eastAsia="宋体"/>
          <w:b w:val="0"/>
          <w:i w:val="0"/>
          <w:sz w:val="24"/>
        </w:rPr>
        <w:t>（1）选题性质分为：A-论文；B-设计。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（2）选题类型分为：A-基础研究；B-应用研究；C-设计型；D-调研综述；E-其他。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（3）选题来源分为：A-生产实践；B-实验实训；C-社会调查；D-教学科研；E-其他。</w:t>
      </w:r>
    </w:p>
    <w:p>
      <w:r>
        <w:rPr>
          <w:rFonts w:ascii="Times New Roman" w:hAnsi="Times New Roman" w:eastAsia="宋体"/>
          <w:b w:val="0"/>
          <w:i w:val="0"/>
          <w:sz w:val="24"/>
        </w:rPr>
        <w:t>（4）选题难度分为：A-难；B-偏难；C-中等；D-偏易；E-易。</w:t>
      </w:r>
    </w:p>
    <w:p>
      <w:r>
        <w:rPr>
          <w:rFonts w:ascii="Times New Roman" w:hAnsi="Times New Roman" w:eastAsia="宋体"/>
          <w:b w:val="0"/>
          <w:i w:val="0"/>
          <w:sz w:val="24"/>
        </w:rPr>
        <w:t>（5）实践时间：依据人才培养方案填写总周数。</w:t>
      </w:r>
    </w:p>
    <w:p>
      <w:r>
        <w:rPr>
          <w:rFonts w:ascii="Times New Roman" w:hAnsi="Times New Roman" w:eastAsia="宋体"/>
          <w:b w:val="0"/>
          <w:i w:val="0"/>
          <w:sz w:val="24"/>
        </w:rPr>
        <w:t>（6）主要参考文献：不少于 10 篇。</w:t>
      </w:r>
    </w:p>
    <w:p>
      <w:pPr>
        <w:spacing w:line="312" w:lineRule="auto"/>
        <w:ind w:left="36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使用说明（提交前删除本段）：</w:t>
      </w:r>
    </w:p>
    <w:p>
      <w:pPr>
        <w:spacing w:line="312" w:lineRule="auto"/>
        <w:ind w:left="36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1. 指导教师姓名（XXX）、选题性质/类型/来源/难度四项编码请在提交前与指导教师确认；</w:t>
      </w:r>
    </w:p>
    <w:p>
      <w:pPr>
        <w:spacing w:line="312" w:lineRule="auto"/>
        <w:ind w:left="36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2. 学院原始模板为一整张表格版式，此处采用"信息表 + 分节正文"呈现便于撰写与修改；转换为 Word 时请按学院模板的表格结构排版；</w:t>
      </w:r>
    </w:p>
    <w:p>
      <w:pPr>
        <w:spacing w:line="312" w:lineRule="auto"/>
        <w:ind w:left="36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3. 文献表与开题报告共用同一批已核实文献（本表按需选用 10 篇）。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