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jc w:val="center"/>
      </w:pPr>
      <w:r>
        <w:rPr>
          <w:rFonts w:ascii="Georgia" w:cs="Georgia" w:eastAsia="Georgia" w:hAnsi="Georgia"/>
          <w:b/>
          <w:bCs/>
          <w:color w:val="0B1F3A"/>
          <w:sz w:val="52"/>
          <w:szCs w:val="52"/>
        </w:rPr>
        <w:t xml:space="preserve">AGENTIC AI IN LUXURY</w:t>
      </w:r>
    </w:p>
    <w:p>
      <w:pPr>
        <w:spacing w:after="160"/>
        <w:jc w:val="center"/>
      </w:pPr>
      <w:r>
        <w:rPr>
          <w:rFonts w:ascii="Georgia" w:cs="Georgia" w:eastAsia="Georgia" w:hAnsi="Georgia"/>
          <w:i/>
          <w:iCs/>
          <w:color w:val="8B6F47"/>
          <w:sz w:val="32"/>
          <w:szCs w:val="32"/>
        </w:rPr>
        <w:t xml:space="preserve">Modeling the Value Realization of AI-Powered Clienteling</w:t>
      </w:r>
    </w:p>
    <w:p>
      <w:pPr>
        <w:spacing w:after="120" w:before="480"/>
        <w:jc w:val="center"/>
      </w:pPr>
      <w:r>
        <w:rPr>
          <w:color w:val="4A4A4A"/>
          <w:sz w:val="26"/>
          <w:szCs w:val="26"/>
        </w:rPr>
        <w:t xml:space="preserve">Final Project Report</w:t>
      </w:r>
    </w:p>
    <w:p>
      <w:pPr>
        <w:spacing w:after="240"/>
        <w:jc w:val="center"/>
      </w:pPr>
      <w:r>
        <w:rPr>
          <w:sz w:val="22"/>
          <w:szCs w:val="22"/>
        </w:rPr>
        <w:t xml:space="preserve">Sriya Vangala  ·  Jake Yu  ·  Valia Kavrakis  ·  Keerthan Nekkanti</w:t>
      </w:r>
    </w:p>
    <w:p>
      <w:pPr>
        <w:spacing w:after="120"/>
        <w:jc w:val="center"/>
      </w:pPr>
      <w:r>
        <w:rPr>
          <w:i/>
          <w:iCs/>
          <w:sz w:val="22"/>
          <w:szCs w:val="22"/>
        </w:rPr>
        <w:t xml:space="preserve">MS in Business Analytics Capstone</w:t>
      </w:r>
    </w:p>
    <w:p>
      <w:pPr>
        <w:spacing w:after="600"/>
        <w:jc w:val="center"/>
      </w:pPr>
      <w:r>
        <w:rPr>
          <w:i/>
          <w:iCs/>
          <w:sz w:val="22"/>
          <w:szCs w:val="22"/>
        </w:rPr>
        <w:t xml:space="preserve">Carnegie Mellon University — Tepper School of Business</w:t>
      </w:r>
    </w:p>
    <w:p>
      <w:pPr>
        <w:spacing w:after="120"/>
        <w:jc w:val="center"/>
      </w:pPr>
      <w:r>
        <w:rPr>
          <w:b/>
          <w:bCs/>
          <w:sz w:val="22"/>
          <w:szCs w:val="22"/>
        </w:rPr>
        <w:t xml:space="preserve">Prepared for Deloitte Consulting</w:t>
      </w:r>
    </w:p>
    <w:p>
      <w:pPr>
        <w:spacing w:after="120"/>
        <w:jc w:val="center"/>
      </w:pPr>
      <w:r>
        <w:rPr>
          <w:i/>
          <w:iCs/>
          <w:color w:val="4A4A4A"/>
          <w:sz w:val="20"/>
          <w:szCs w:val="20"/>
        </w:rPr>
        <w:t xml:space="preserve">Week 14 — Final Deliverable · April 2026</w:t>
      </w:r>
    </w:p>
    <w:p>
      <w:r>
        <w:br w:type="page"/>
      </w:r>
    </w:p>
    <w:p>
      <w:pPr>
        <w:pStyle w:val="Heading1"/>
        <w:spacing w:after="120" w:before="24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Executive Summary</w:t>
      </w:r>
    </w:p>
    <w:p>
      <w:pPr>
        <w:spacing w:after="120" w:line="300"/>
      </w:pPr>
      <w:r>
        <w:t xml:space="preserve">Luxury brands face a paradox. Fifty-six percent of luxury clients say they are dissatisfied with their current shopping experiences, and sixty percent say AI makes luxury feel generic and impersonal. Brands are nonetheless investing aggressively in AI because the cost of not personalizing is unsustainable. The question is not whether to deploy AI in luxury — it is how to deploy it without eroding the emotional integrity of the luxury experience.</w:t>
      </w:r>
    </w:p>
    <w:p>
      <w:pPr>
        <w:spacing w:after="120" w:line="300"/>
      </w:pPr>
      <w:r>
        <w:t xml:space="preserve">This engagement, conducted by a Carnegie Mellon University Tepper MSBA capstone team for Deloitte, set out to answer a sharper version of that question: not whether AI creates value in luxury, but precisely where and for whom it does so without compromising the experience. Our deliverable is twofold. First, a modeling pipeline that combines OSINT retention benchmarks, a luxury consumer survey, a large-scale Sephora A/B simulation over 8,000+ products and 1M+ reviews, and three brand case studies. Second, AVANT — the Agentic Value and AI Navigation Tool — an interactive consulting dashboard that lets a brand team estimate ROI, simulate AI intervention, and sequence implementation by customer readiness.</w:t>
      </w:r>
    </w:p>
    <w:p>
      <w:pPr>
        <w:pStyle w:val="Heading2"/>
        <w:spacing w:after="120" w:before="240"/>
      </w:pPr>
      <w:r>
        <w:t xml:space="preserve">Headline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F47" w:sz="12"/>
              <w:left w:val="none" w:color="FFFFFF" w:sz="0"/>
              <w:bottom w:val="single" w:color="8B6F47" w:sz="12"/>
              <w:right w:val="none" w:color="FFFFFF" w:sz="0"/>
            </w:tcBorders>
            <w:tcMar>
              <w:top w:type="dxa" w:w="200"/>
              <w:left w:type="dxa" w:w="240"/>
              <w:bottom w:type="dxa" w:w="200"/>
              <w:right w:type="dxa" w:w="240"/>
            </w:tcMar>
          </w:tcPr>
          <w:p>
            <w:pPr>
              <w:jc w:val="center"/>
            </w:pPr>
            <w:r>
              <w:rPr>
                <w:b/>
                <w:bCs/>
                <w:color w:val="0B1F3A"/>
                <w:sz w:val="56"/>
                <w:szCs w:val="56"/>
              </w:rPr>
              <w:t xml:space="preserve">$13.2M</w:t>
            </w:r>
          </w:p>
          <w:p>
            <w:pPr>
              <w:spacing w:before="60"/>
              <w:jc w:val="center"/>
            </w:pPr>
            <w:r>
              <w:rPr>
                <w:i/>
                <w:iCs/>
                <w:color w:val="4A4A4A"/>
                <w:sz w:val="22"/>
                <w:szCs w:val="22"/>
              </w:rPr>
              <w:t xml:space="preserve">Projected net benefit per 1,000 customers over the 2026–2030 horizon</w:t>
            </w:r>
          </w:p>
        </w:tc>
      </w:tr>
    </w:tbl>
    <w:p>
      <w:pPr>
        <w:spacing w:after="120" w:line="300"/>
      </w:pPr>
      <w:r>
        <w:t xml:space="preserve"/>
      </w:r>
    </w:p>
    <w:p>
      <w:pPr>
        <w:pStyle w:val="ListParagraph"/>
        <w:numPr>
          <w:ilvl w:val="0"/>
          <w:numId w:val="2"/>
        </w:numPr>
        <w:spacing w:after="80"/>
      </w:pPr>
      <w:r>
        <w:t xml:space="preserve">Compounding ROI growth. Targeted agentic AI drives mean ROI from 0.98x in 2026 to 2.10x in 2030, a +1.12x lift over the five-year horizon.</w:t>
      </w:r>
    </w:p>
    <w:p>
      <w:pPr>
        <w:pStyle w:val="ListParagraph"/>
        <w:numPr>
          <w:ilvl w:val="0"/>
          <w:numId w:val="2"/>
        </w:numPr>
        <w:spacing w:after="80"/>
      </w:pPr>
      <w:r>
        <w:t xml:space="preserve">AI readiness correlates tightly with ROI. Readiness rises from 0.346 to 0.557 (+61%) and the share of AI-ready customers climbs from 11% to 68% (+57 points), in lockstep with projected return.</w:t>
      </w:r>
    </w:p>
    <w:p>
      <w:pPr>
        <w:pStyle w:val="ListParagraph"/>
        <w:numPr>
          <w:ilvl w:val="0"/>
          <w:numId w:val="2"/>
        </w:numPr>
        <w:spacing w:after="80"/>
      </w:pPr>
      <w:r>
        <w:t xml:space="preserve">AI resistance is temporary. Consumers most receptive to AI in luxury are those who have already engaged with it; resistance fades with exposure rather than with persuasion.</w:t>
      </w:r>
    </w:p>
    <w:p>
      <w:pPr>
        <w:pStyle w:val="ListParagraph"/>
        <w:numPr>
          <w:ilvl w:val="0"/>
          <w:numId w:val="2"/>
        </w:numPr>
        <w:spacing w:after="80"/>
      </w:pPr>
      <w:r>
        <w:t xml:space="preserve">Retention lift compounds quietly. Projected post-AI retention moves from 86.2% to 88.7% (+2.4 points) — small in magnitude, but the highest-leverage lever in the ROI stack because it multiplies CLV.</w:t>
      </w:r>
    </w:p>
    <w:p>
      <w:pPr>
        <w:pStyle w:val="Heading2"/>
        <w:spacing w:after="120" w:before="240"/>
      </w:pPr>
      <w:r>
        <w:t xml:space="preserve">Recommendation</w:t>
      </w:r>
    </w:p>
    <w:p>
      <w:pPr>
        <w:spacing w:after="120" w:line="300"/>
      </w:pPr>
      <w:r>
        <w:t xml:space="preserve">Deploy agentic AI in luxury, but deploy it invisibly. Visible automation signals efficiency in most sectors; in luxury it erodes intimacy. Prioritize use cases that orchestrate the experience behind the curtain — clienteling intelligence for sales associates, predictive inventory and outfit curation, authentication — rather than customer-facing chat or generic product recommendations. Sequence the rollout by AI readiness and customer lifetime value, and use AVANT to run the scenario before committing capital.</w:t>
      </w:r>
    </w:p>
    <w:p>
      <w:r>
        <w:br w:type="page"/>
      </w:r>
    </w:p>
    <w:p>
      <w:pPr>
        <w:pStyle w:val="Heading1"/>
        <w:spacing w:after="120" w:before="240"/>
      </w:pPr>
      <w:r>
        <w:t xml:space="preserve">1. Introduction</w:t>
      </w:r>
    </w:p>
    <w:p>
      <w:pPr>
        <w:pStyle w:val="Heading2"/>
        <w:spacing w:after="120" w:before="240"/>
      </w:pPr>
      <w:r>
        <w:t xml:space="preserve">1.1 Two Industries, One Collision</w:t>
      </w:r>
    </w:p>
    <w:p>
      <w:pPr>
        <w:spacing w:after="120" w:line="300"/>
      </w:pPr>
      <w:r>
        <w:t xml:space="preserve">We started this project with two things we already knew. We knew what AI is doing in most sectors: optimizing, automating, and reducing cost. And we knew what luxury is: elevating, personalizing, and connecting. The modern agentic AI conversation — systems that plan, take actions, and coordinate tools on a customer's behalf — collides the two. Our goal was to bridge them, and to find the narrow set of deployments where agentic AI enhances rather than dilutes the luxury experience.</w:t>
      </w:r>
    </w:p>
    <w:p>
      <w:pPr>
        <w:pStyle w:val="Heading2"/>
        <w:spacing w:after="120" w:before="240"/>
      </w:pPr>
      <w:r>
        <w:t xml:space="preserve">1.2 The Luxury AI Paradox</w:t>
      </w:r>
    </w:p>
    <w:p>
      <w:pPr>
        <w:spacing w:after="120" w:line="300"/>
      </w:pPr>
      <w:r>
        <w:t xml:space="preserve">Luxury consumers are simultaneously dissatisfied with their current experience and suspicious of the AI that might fix it. Our primary and secondary research converges on two framing statistics:</w:t>
      </w:r>
    </w:p>
    <w:p>
      <w:pPr>
        <w:pStyle w:val="ListParagraph"/>
        <w:numPr>
          <w:ilvl w:val="0"/>
          <w:numId w:val="2"/>
        </w:numPr>
        <w:spacing w:after="80"/>
      </w:pPr>
      <w:r>
        <w:t xml:space="preserve">56% of luxury clients are dissatisfied with current experiences.</w:t>
      </w:r>
    </w:p>
    <w:p>
      <w:pPr>
        <w:pStyle w:val="ListParagraph"/>
        <w:numPr>
          <w:ilvl w:val="0"/>
          <w:numId w:val="2"/>
        </w:numPr>
        <w:spacing w:after="80"/>
      </w:pPr>
      <w:r>
        <w:t xml:space="preserve">60% of luxury clients say AI makes luxury feel generic and impersonal.</w:t>
      </w:r>
    </w:p>
    <w:p>
      <w:pPr>
        <w:spacing w:after="120" w:line="300"/>
      </w:pPr>
      <w:r>
        <w:t xml:space="preserve">The resolution is not a choice between the two. Consumers want change but not at the cost of human connection. In luxury, AI's value lies in remaining invisible — visible automation erodes the integrity of the experience.</w:t>
      </w:r>
    </w:p>
    <w:p>
      <w:pPr>
        <w:pStyle w:val="Heading2"/>
        <w:spacing w:after="120" w:before="240"/>
      </w:pPr>
      <w:r>
        <w:t xml:space="preserve">1.3 Project Question</w:t>
      </w:r>
    </w:p>
    <w:p>
      <w:pPr>
        <w:spacing w:after="120" w:line="300"/>
      </w:pPr>
      <w:r>
        <w:t xml:space="preserve">Deloitte engaged the Tepper capstone team to answer: given a luxury brand's customer base, what is the expected return on deploying agentic AI, which segments should receive the investment first, and what is the operational form of that investment that protects the luxury experience?</w:t>
      </w:r>
    </w:p>
    <w:p>
      <w:pPr>
        <w:pStyle w:val="Heading2"/>
        <w:spacing w:after="120" w:before="240"/>
      </w:pPr>
      <w:r>
        <w:t xml:space="preserve">1.4 Scope and Deliverables</w:t>
      </w:r>
    </w:p>
    <w:p>
      <w:pPr>
        <w:spacing w:after="120" w:line="300"/>
      </w:pPr>
      <w:r>
        <w:t xml:space="preserve">The engagement comprises four elements: (i) primary consumer research, (ii) an OSINT-informed ROI model, (iii) AVANT — an interactive dashboard prototype — and (iv) a five-year projection. Implementation at a specific brand, vendor selection, and operating-model redesign sit in the subsequent phase and are not in scope for this deliverable.</w:t>
      </w:r>
    </w:p>
    <w:p>
      <w:pPr>
        <w:pStyle w:val="Heading1"/>
        <w:spacing w:after="120" w:before="240"/>
      </w:pPr>
      <w:r>
        <w:t xml:space="preserve">2. Research and Methodology</w:t>
      </w:r>
    </w:p>
    <w:p>
      <w:pPr>
        <w:spacing w:after="120" w:line="300"/>
      </w:pPr>
      <w:r>
        <w:t xml:space="preserve">Our evidence base rests on four independent research pillars, each chosen to triangulate the same question from a different angle.</w:t>
      </w:r>
    </w:p>
    <w:p>
      <w:pPr>
        <w:pStyle w:val="Heading2"/>
        <w:spacing w:after="120" w:before="240"/>
      </w:pPr>
      <w:r>
        <w:t xml:space="preserve">2.1 Four Research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0"/>
        <w:gridCol w:w="3680"/>
        <w:gridCol w:w="3800"/>
      </w:tblGrid>
      <w:tr>
        <w:tc>
          <w:tcPr>
            <w:tcW w:type="dxa" w:w="188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Pillar</w:t>
            </w:r>
          </w:p>
        </w:tc>
        <w:tc>
          <w:tcPr>
            <w:tcW w:type="dxa" w:w="368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What we did</w:t>
            </w:r>
          </w:p>
        </w:tc>
        <w:tc>
          <w:tcPr>
            <w:tcW w:type="dxa" w:w="380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What it tells us</w:t>
            </w:r>
          </w:p>
        </w:tc>
      </w:tr>
      <w:tr>
        <w:tc>
          <w:tcPr>
            <w:tcW w:type="dxa" w:w="18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Trend Analysis</w:t>
            </w:r>
          </w:p>
        </w:tc>
        <w:tc>
          <w:tcPr>
            <w:tcW w:type="dxa" w:w="3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Tracked AI awareness and usage among luxury consumers across public trend data.</w:t>
            </w:r>
          </w:p>
        </w:tc>
        <w:tc>
          <w:tcPr>
            <w:tcW w:type="dxa" w:w="3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Agentic AI maintains relatively low awareness and usage among luxury consumers — a headroom signal, not a rejection.</w:t>
            </w:r>
          </w:p>
        </w:tc>
      </w:tr>
      <w:tr>
        <w:tc>
          <w:tcPr>
            <w:tcW w:type="dxa" w:w="18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Sephora A/B Testing</w:t>
            </w:r>
          </w:p>
        </w:tc>
        <w:tc>
          <w:tcPr>
            <w:tcW w:type="dxa" w:w="3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Simulated AI intervention over 8,000+ products and 1,000,000+ reviews to measure impact on conversion, engagement, and basket composition.</w:t>
            </w:r>
          </w:p>
        </w:tc>
        <w:tc>
          <w:tcPr>
            <w:tcW w:type="dxa" w:w="3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AI-curated interventions produce measurable uplift even in adjacent prestige-beauty — a useful analogue for luxury scale.</w:t>
            </w:r>
          </w:p>
        </w:tc>
      </w:tr>
      <w:tr>
        <w:tc>
          <w:tcPr>
            <w:tcW w:type="dxa" w:w="18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Customer Survey</w:t>
            </w:r>
          </w:p>
        </w:tc>
        <w:tc>
          <w:tcPr>
            <w:tcW w:type="dxa" w:w="3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Primary Qualtrics research capturing purchase behavior, channel preferences, loyalty drivers, churn triggers, and AI attitudes across 23 questions.</w:t>
            </w:r>
          </w:p>
        </w:tc>
        <w:tc>
          <w:tcPr>
            <w:tcW w:type="dxa" w:w="3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Direct evidence on readiness, concerns, and preferred human-AI balance — the raw material for the readiness composite.</w:t>
            </w:r>
          </w:p>
        </w:tc>
      </w:tr>
      <w:tr>
        <w:tc>
          <w:tcPr>
            <w:tcW w:type="dxa" w:w="18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Case Study Analysis</w:t>
            </w:r>
          </w:p>
        </w:tc>
        <w:tc>
          <w:tcPr>
            <w:tcW w:type="dxa" w:w="3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Deep-dive comparative analysis of LVMH (centralized data and AI sales), Gucci (AI-driven digital), and Burberry (AI-based authentication).</w:t>
            </w:r>
          </w:p>
        </w:tc>
        <w:tc>
          <w:tcPr>
            <w:tcW w:type="dxa" w:w="3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Three concrete archetypes of what agentic AI in luxury actually looks like when it works.</w:t>
            </w:r>
          </w:p>
        </w:tc>
      </w:tr>
    </w:tbl>
    <w:p>
      <w:pPr>
        <w:pStyle w:val="Heading2"/>
        <w:spacing w:after="120" w:before="240"/>
      </w:pPr>
      <w:r>
        <w:t xml:space="preserve">2.2 Composite ROI Target</w:t>
      </w:r>
    </w:p>
    <w:p>
      <w:pPr>
        <w:spacing w:after="120" w:line="300"/>
      </w:pPr>
      <w:r>
        <w:t xml:space="preserve">The ROI model is built to be interpretable: every predicted dollar decomposes into OSINT-grounded building blocks a sponsor team can audit line-by-line.</w:t>
      </w:r>
    </w:p>
    <w:p>
      <w:pPr>
        <w:spacing w:after="120" w:before="120"/>
        <w:jc w:val="center"/>
      </w:pPr>
      <w:r>
        <w:rPr>
          <w:b/>
          <w:bCs/>
          <w:i/>
          <w:iCs/>
          <w:color w:val="0B1F3A"/>
        </w:rPr>
        <w:t xml:space="preserve">Net ROI = ( AI Revenue Uplift + Retention Savings − AI Cost ) ÷ AI Cost</w:t>
      </w:r>
    </w:p>
    <w:p>
      <w:pPr>
        <w:spacing w:after="120" w:line="300"/>
      </w:pPr>
      <w:r>
        <w:t xml:space="preserve">The three components are themselves functions of customer lifetime value, baseline luxury retention (82%), a weighted AI-readiness composite (0–1), a churn-cost multiplier (5x), and a personalization revenue-lift factor (20%).</w:t>
      </w:r>
    </w:p>
    <w:p>
      <w:pPr>
        <w:pStyle w:val="Heading2"/>
        <w:spacing w:after="120" w:before="240"/>
      </w:pPr>
      <w:r>
        <w:t xml:space="preserve">2.3 AI Readiness Composite</w:t>
      </w:r>
    </w:p>
    <w:p>
      <w:pPr>
        <w:spacing w:after="120" w:line="300"/>
      </w:pPr>
      <w:r>
        <w:t xml:space="preserve">Readiness is the single most predictive feature in the model. It is a weighted blend of nine survey signals, summing to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Signal</w:t>
            </w:r>
          </w:p>
        </w:tc>
        <w:tc>
          <w:tcPr>
            <w:tcW w:type="dxa" w:w="234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Weight</w:t>
            </w:r>
          </w:p>
        </w:tc>
        <w:tc>
          <w:tcPr>
            <w:tcW w:type="dxa" w:w="234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Source</w:t>
            </w:r>
          </w:p>
        </w:tc>
      </w:tr>
      <w:tr>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AI usage frequency</w:t>
            </w:r>
          </w:p>
        </w:tc>
        <w:tc>
          <w:tcPr>
            <w:tcW w:type="dxa" w:w="23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0.15</w:t>
            </w:r>
          </w:p>
        </w:tc>
        <w:tc>
          <w:tcPr>
            <w:tcW w:type="dxa" w:w="23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Q13</w:t>
            </w:r>
          </w:p>
        </w:tc>
      </w:tr>
      <w:tr>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AI helpfulness rating</w:t>
            </w:r>
          </w:p>
        </w:tc>
        <w:tc>
          <w:tcPr>
            <w:tcW w:type="dxa" w:w="23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0.15</w:t>
            </w:r>
          </w:p>
        </w:tc>
        <w:tc>
          <w:tcPr>
            <w:tcW w:type="dxa" w:w="23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Q19</w:t>
            </w:r>
          </w:p>
        </w:tc>
      </w:tr>
      <w:tr>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Desire for more AI</w:t>
            </w:r>
          </w:p>
        </w:tc>
        <w:tc>
          <w:tcPr>
            <w:tcW w:type="dxa" w:w="23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0.20</w:t>
            </w:r>
          </w:p>
        </w:tc>
        <w:tc>
          <w:tcPr>
            <w:tcW w:type="dxa" w:w="23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Q21</w:t>
            </w:r>
          </w:p>
        </w:tc>
      </w:tr>
      <w:tr>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AI/human balance preference</w:t>
            </w:r>
          </w:p>
        </w:tc>
        <w:tc>
          <w:tcPr>
            <w:tcW w:type="dxa" w:w="23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0.10</w:t>
            </w:r>
          </w:p>
        </w:tc>
        <w:tc>
          <w:tcPr>
            <w:tcW w:type="dxa" w:w="23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Q22</w:t>
            </w:r>
          </w:p>
        </w:tc>
      </w:tr>
      <w:tr>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AI use-case count</w:t>
            </w:r>
          </w:p>
        </w:tc>
        <w:tc>
          <w:tcPr>
            <w:tcW w:type="dxa" w:w="23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0.10</w:t>
            </w:r>
          </w:p>
        </w:tc>
        <w:tc>
          <w:tcPr>
            <w:tcW w:type="dxa" w:w="23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Q15</w:t>
            </w:r>
          </w:p>
        </w:tc>
      </w:tr>
      <w:tr>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AI-for-decision flag</w:t>
            </w:r>
          </w:p>
        </w:tc>
        <w:tc>
          <w:tcPr>
            <w:tcW w:type="dxa" w:w="23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0.10</w:t>
            </w:r>
          </w:p>
        </w:tc>
        <w:tc>
          <w:tcPr>
            <w:tcW w:type="dxa" w:w="23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Q16</w:t>
            </w:r>
          </w:p>
        </w:tc>
      </w:tr>
      <w:tr>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Desired AI roles</w:t>
            </w:r>
          </w:p>
        </w:tc>
        <w:tc>
          <w:tcPr>
            <w:tcW w:type="dxa" w:w="23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0.10</w:t>
            </w:r>
          </w:p>
        </w:tc>
        <w:tc>
          <w:tcPr>
            <w:tcW w:type="dxa" w:w="23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Q23</w:t>
            </w:r>
          </w:p>
        </w:tc>
      </w:tr>
      <w:tr>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Digital propensity (age-based)</w:t>
            </w:r>
          </w:p>
        </w:tc>
        <w:tc>
          <w:tcPr>
            <w:tcW w:type="dxa" w:w="23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0.05</w:t>
            </w:r>
          </w:p>
        </w:tc>
        <w:tc>
          <w:tcPr>
            <w:tcW w:type="dxa" w:w="23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Q1 + OSINT</w:t>
            </w:r>
          </w:p>
        </w:tc>
      </w:tr>
      <w:tr>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Inverse concern count</w:t>
            </w:r>
          </w:p>
        </w:tc>
        <w:tc>
          <w:tcPr>
            <w:tcW w:type="dxa" w:w="23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0.05</w:t>
            </w:r>
          </w:p>
        </w:tc>
        <w:tc>
          <w:tcPr>
            <w:tcW w:type="dxa" w:w="23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Q20</w:t>
            </w:r>
          </w:p>
        </w:tc>
      </w:tr>
    </w:tbl>
    <w:p>
      <w:pPr>
        <w:pStyle w:val="Heading2"/>
        <w:spacing w:after="120" w:before="240"/>
      </w:pPr>
      <w:r>
        <w:t xml:space="preserve">2.4 OSINT Parameters</w:t>
      </w:r>
    </w:p>
    <w:p>
      <w:pPr>
        <w:spacing w:after="120" w:line="300"/>
      </w:pPr>
      <w:r>
        <w:t xml:space="preserve">All assumptions below are drawn from publicly available industry reports (Bain, McKinsey, Deloitte Global Powers of Luxury Goods, BCG × Altagamma).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20"/>
        <w:gridCol w:w="2240"/>
        <w:gridCol w:w="3800"/>
      </w:tblGrid>
      <w:tr>
        <w:tc>
          <w:tcPr>
            <w:tcW w:type="dxa" w:w="332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Parameter</w:t>
            </w:r>
          </w:p>
        </w:tc>
        <w:tc>
          <w:tcPr>
            <w:tcW w:type="dxa" w:w="224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Value</w:t>
            </w:r>
          </w:p>
        </w:tc>
        <w:tc>
          <w:tcPr>
            <w:tcW w:type="dxa" w:w="380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Role</w:t>
            </w:r>
          </w:p>
        </w:tc>
      </w:tr>
      <w:tr>
        <w:tc>
          <w:tcPr>
            <w:tcW w:type="dxa" w:w="332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Baseline retention rate</w:t>
            </w:r>
          </w:p>
        </w:tc>
        <w:tc>
          <w:tcPr>
            <w:tcW w:type="dxa" w:w="22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82%</w:t>
            </w:r>
          </w:p>
        </w:tc>
        <w:tc>
          <w:tcPr>
            <w:tcW w:type="dxa" w:w="3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Starting retention of luxury customers</w:t>
            </w:r>
          </w:p>
        </w:tc>
      </w:tr>
      <w:tr>
        <w:tc>
          <w:tcPr>
            <w:tcW w:type="dxa" w:w="332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AI retention uplift</w:t>
            </w:r>
          </w:p>
        </w:tc>
        <w:tc>
          <w:tcPr>
            <w:tcW w:type="dxa" w:w="22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15%</w:t>
            </w:r>
          </w:p>
        </w:tc>
        <w:tc>
          <w:tcPr>
            <w:tcW w:type="dxa" w:w="3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Max retention lift from agentic AI</w:t>
            </w:r>
          </w:p>
        </w:tc>
      </w:tr>
      <w:tr>
        <w:tc>
          <w:tcPr>
            <w:tcW w:type="dxa" w:w="332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CLV multiplier</w:t>
            </w:r>
          </w:p>
        </w:tc>
        <w:tc>
          <w:tcPr>
            <w:tcW w:type="dxa" w:w="22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8.5x</w:t>
            </w:r>
          </w:p>
        </w:tc>
        <w:tc>
          <w:tcPr>
            <w:tcW w:type="dxa" w:w="3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Annual-spend → CLV conversion</w:t>
            </w:r>
          </w:p>
        </w:tc>
      </w:tr>
      <w:tr>
        <w:tc>
          <w:tcPr>
            <w:tcW w:type="dxa" w:w="332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Churn cost multiplier</w:t>
            </w:r>
          </w:p>
        </w:tc>
        <w:tc>
          <w:tcPr>
            <w:tcW w:type="dxa" w:w="22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5.0x</w:t>
            </w:r>
          </w:p>
        </w:tc>
        <w:tc>
          <w:tcPr>
            <w:tcW w:type="dxa" w:w="3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Acquire vs. retain cost ratio</w:t>
            </w:r>
          </w:p>
        </w:tc>
      </w:tr>
      <w:tr>
        <w:tc>
          <w:tcPr>
            <w:tcW w:type="dxa" w:w="332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Personalization revenue lift</w:t>
            </w:r>
          </w:p>
        </w:tc>
        <w:tc>
          <w:tcPr>
            <w:tcW w:type="dxa" w:w="22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20%</w:t>
            </w:r>
          </w:p>
        </w:tc>
        <w:tc>
          <w:tcPr>
            <w:tcW w:type="dxa" w:w="3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Incremental revenue on AI-served customers</w:t>
            </w:r>
          </w:p>
        </w:tc>
      </w:tr>
      <w:tr>
        <w:tc>
          <w:tcPr>
            <w:tcW w:type="dxa" w:w="332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AI implementation cost</w:t>
            </w:r>
          </w:p>
        </w:tc>
        <w:tc>
          <w:tcPr>
            <w:tcW w:type="dxa" w:w="22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3.0% of rev</w:t>
            </w:r>
          </w:p>
        </w:tc>
        <w:tc>
          <w:tcPr>
            <w:tcW w:type="dxa" w:w="3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Per-customer allocated platform cost</w:t>
            </w:r>
          </w:p>
        </w:tc>
      </w:tr>
      <w:tr>
        <w:tc>
          <w:tcPr>
            <w:tcW w:type="dxa" w:w="332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Annual AI literacy shift</w:t>
            </w:r>
          </w:p>
        </w:tc>
        <w:tc>
          <w:tcPr>
            <w:tcW w:type="dxa" w:w="22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25%</w:t>
            </w:r>
          </w:p>
        </w:tc>
        <w:tc>
          <w:tcPr>
            <w:tcW w:type="dxa" w:w="3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Year-on-year readiness migration</w:t>
            </w:r>
          </w:p>
        </w:tc>
      </w:tr>
    </w:tbl>
    <w:p>
      <w:pPr>
        <w:pStyle w:val="Heading2"/>
        <w:spacing w:after="120" w:before="240"/>
      </w:pPr>
      <w:r>
        <w:t xml:space="preserve">2.5 Modeling Pipeline</w:t>
      </w:r>
    </w:p>
    <w:p>
      <w:pPr>
        <w:spacing w:after="120" w:line="300"/>
      </w:pPr>
      <w:r>
        <w:t xml:space="preserve">Three supervised learning ensembles are trained on the synthetic AI-positive training set (n=300 raw, 253 cleaned) and evaluated on a real Qualtrics survey (n=43). The three regressors — XGBoost, Random Forest, and Gradient Boosting — share hyperparameters across both pipelines (200 estimators; max depth 5 for boosted trees, 8 for RF; learning rate 0.10; subsample 0.8). Random seeds are fixed at 42 throughout for reproducibility.</w:t>
      </w:r>
    </w:p>
    <w:p>
      <w:r>
        <w:br w:type="page"/>
      </w:r>
    </w:p>
    <w:p>
      <w:pPr>
        <w:pStyle w:val="Heading1"/>
        <w:spacing w:after="120" w:before="240"/>
      </w:pPr>
      <w:r>
        <w:t xml:space="preserve">3. AVANT — The Agentic Value and AI Navigation Tool</w:t>
      </w:r>
    </w:p>
    <w:p>
      <w:pPr>
        <w:spacing w:after="120" w:line="300"/>
      </w:pPr>
      <w:r>
        <w:t xml:space="preserve">AVANT is an interactive consulting tool for luxury brands. It lets a team align AI investments with customer needs, estimate ROI by readiness level, and simulate outcomes before committing resources. The tool is structured as six linked stages that walk a brand from discovery to executive sign-off, with an embedded AI advisor running in parallel.</w:t>
      </w:r>
    </w:p>
    <w:p>
      <w:pPr>
        <w:pStyle w:val="Heading2"/>
        <w:spacing w:after="120" w:before="240"/>
      </w:pPr>
      <w:r>
        <w:t xml:space="preserve">3.1 The Six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0"/>
        <w:gridCol w:w="5320"/>
        <w:gridCol w:w="2160"/>
      </w:tblGrid>
      <w:tr>
        <w:tc>
          <w:tcPr>
            <w:tcW w:type="dxa" w:w="188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Stage</w:t>
            </w:r>
          </w:p>
        </w:tc>
        <w:tc>
          <w:tcPr>
            <w:tcW w:type="dxa" w:w="532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What it answers</w:t>
            </w:r>
          </w:p>
        </w:tc>
        <w:tc>
          <w:tcPr>
            <w:tcW w:type="dxa" w:w="216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Primary user</w:t>
            </w:r>
          </w:p>
        </w:tc>
      </w:tr>
      <w:tr>
        <w:tc>
          <w:tcPr>
            <w:tcW w:type="dxa" w:w="18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Discover</w:t>
            </w:r>
          </w:p>
        </w:tc>
        <w:tc>
          <w:tcPr>
            <w:tcW w:type="dxa" w:w="532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Who are our customers and what is their current relationship to AI?</w:t>
            </w:r>
          </w:p>
        </w:tc>
        <w:tc>
          <w:tcPr>
            <w:tcW w:type="dxa" w:w="216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Analyst</w:t>
            </w:r>
          </w:p>
        </w:tc>
      </w:tr>
      <w:tr>
        <w:tc>
          <w:tcPr>
            <w:tcW w:type="dxa" w:w="18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Setup</w:t>
            </w:r>
          </w:p>
        </w:tc>
        <w:tc>
          <w:tcPr>
            <w:tcW w:type="dxa" w:w="532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What are our brand-specific CLV, retention, and cost parameters?</w:t>
            </w:r>
          </w:p>
        </w:tc>
        <w:tc>
          <w:tcPr>
            <w:tcW w:type="dxa" w:w="216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Analyst + Finance</w:t>
            </w:r>
          </w:p>
        </w:tc>
      </w:tr>
      <w:tr>
        <w:tc>
          <w:tcPr>
            <w:tcW w:type="dxa" w:w="18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Current</w:t>
            </w:r>
          </w:p>
        </w:tc>
        <w:tc>
          <w:tcPr>
            <w:tcW w:type="dxa" w:w="532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Where are we today on readiness, retention, and revenue?</w:t>
            </w:r>
          </w:p>
        </w:tc>
        <w:tc>
          <w:tcPr>
            <w:tcW w:type="dxa" w:w="216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CX Lead</w:t>
            </w:r>
          </w:p>
        </w:tc>
      </w:tr>
      <w:tr>
        <w:tc>
          <w:tcPr>
            <w:tcW w:type="dxa" w:w="18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Prediction</w:t>
            </w:r>
          </w:p>
        </w:tc>
        <w:tc>
          <w:tcPr>
            <w:tcW w:type="dxa" w:w="532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If we deploy agentic AI, what does the trajectory look like over 1, 3, and 5 years?</w:t>
            </w:r>
          </w:p>
        </w:tc>
        <w:tc>
          <w:tcPr>
            <w:tcW w:type="dxa" w:w="216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CX Lead + Analytics</w:t>
            </w:r>
          </w:p>
        </w:tc>
      </w:tr>
      <w:tr>
        <w:tc>
          <w:tcPr>
            <w:tcW w:type="dxa" w:w="18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AI Advisor</w:t>
            </w:r>
          </w:p>
        </w:tc>
        <w:tc>
          <w:tcPr>
            <w:tcW w:type="dxa" w:w="532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Which use cases should we sequence first, and which segments should receive them?</w:t>
            </w:r>
          </w:p>
        </w:tc>
        <w:tc>
          <w:tcPr>
            <w:tcW w:type="dxa" w:w="216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CX Lead + Strategy</w:t>
            </w:r>
          </w:p>
        </w:tc>
      </w:tr>
      <w:tr>
        <w:tc>
          <w:tcPr>
            <w:tcW w:type="dxa" w:w="18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Executive</w:t>
            </w:r>
          </w:p>
        </w:tc>
        <w:tc>
          <w:tcPr>
            <w:tcW w:type="dxa" w:w="532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What is the one-page case the board needs to see?</w:t>
            </w:r>
          </w:p>
        </w:tc>
        <w:tc>
          <w:tcPr>
            <w:tcW w:type="dxa" w:w="216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Executive Sponsor</w:t>
            </w:r>
          </w:p>
        </w:tc>
      </w:tr>
    </w:tbl>
    <w:p>
      <w:pPr>
        <w:pStyle w:val="Heading2"/>
        <w:spacing w:after="120" w:before="240"/>
      </w:pPr>
      <w:r>
        <w:t xml:space="preserve">3.2 Why a Dashboard, Not a Static Report</w:t>
      </w:r>
    </w:p>
    <w:p>
      <w:pPr>
        <w:spacing w:after="120" w:line="300"/>
      </w:pPr>
      <w:r>
        <w:t xml:space="preserve">The ROI of agentic AI in luxury is highly sensitive to brand-specific inputs: baseline retention, CLV mix, and readiness distribution. A static report locks one set of assumptions. AVANT is parameterized — a brand can change baseline retention from 82% to its own figure, change the 20% personalization lift to 12% for a more conservative scenario, or re-weight the readiness composite to reflect its own customer research — and see the five-year trajectory re-price in real time.</w:t>
      </w:r>
    </w:p>
    <w:p>
      <w:pPr>
        <w:pStyle w:val="Heading2"/>
        <w:spacing w:after="120" w:before="240"/>
      </w:pPr>
      <w:r>
        <w:t xml:space="preserve">3.3 What the Tool Is Not</w:t>
      </w:r>
    </w:p>
    <w:p>
      <w:pPr>
        <w:spacing w:after="120" w:line="300"/>
      </w:pPr>
      <w:r>
        <w:t xml:space="preserve">AVANT is a decision-support model, not an operational system. It does not itself orchestrate AI actions for live customers; it helps a brand decide whether and where to deploy the systems that do. It is not a vendor evaluation framework, and it does not replace client-finance TCO modeling.</w:t>
      </w:r>
    </w:p>
    <w:p>
      <w:r>
        <w:br w:type="page"/>
      </w:r>
    </w:p>
    <w:p>
      <w:pPr>
        <w:pStyle w:val="Heading1"/>
        <w:spacing w:after="120" w:before="240"/>
      </w:pPr>
      <w:r>
        <w:t xml:space="preserve">4. Findings</w:t>
      </w:r>
    </w:p>
    <w:p>
      <w:pPr>
        <w:pStyle w:val="Heading2"/>
        <w:spacing w:after="120" w:before="240"/>
      </w:pPr>
      <w:r>
        <w:t xml:space="preserve">4.1 Compounding ROI Growth</w:t>
      </w:r>
    </w:p>
    <w:p>
      <w:pPr>
        <w:spacing w:after="120" w:line="300"/>
      </w:pPr>
      <w:r>
        <w:t xml:space="preserve">The central finding is that agentic AI ROI in luxury compounds, it does not flatten. Targeted deployment drives mean ROI from 0.98x in 2026 to 2.10x in 2030 — a +1.12x lift. The mechanism is twofold: the readiness distribution shifts upward each year as more customers become AI-literate, and the retention multiplier amplifies every readiness gain through CLV.</w:t>
      </w:r>
    </w:p>
    <w:p>
      <w:pPr>
        <w:pStyle w:val="Heading2"/>
        <w:spacing w:after="120" w:before="240"/>
      </w:pPr>
      <w:r>
        <w:t xml:space="preserve">4.2 Five-Year Model Projection (2026–2030)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2100"/>
        <w:gridCol w:w="2100"/>
        <w:gridCol w:w="2080"/>
      </w:tblGrid>
      <w:tr>
        <w:tc>
          <w:tcPr>
            <w:tcW w:type="dxa" w:w="308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Metric</w:t>
            </w:r>
          </w:p>
        </w:tc>
        <w:tc>
          <w:tcPr>
            <w:tcW w:type="dxa" w:w="210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2026</w:t>
            </w:r>
          </w:p>
        </w:tc>
        <w:tc>
          <w:tcPr>
            <w:tcW w:type="dxa" w:w="210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2030</w:t>
            </w:r>
          </w:p>
        </w:tc>
        <w:tc>
          <w:tcPr>
            <w:tcW w:type="dxa" w:w="208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Change</w:t>
            </w:r>
          </w:p>
        </w:tc>
      </w:tr>
      <w:tr>
        <w:tc>
          <w:tcPr>
            <w:tcW w:type="dxa" w:w="30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Mean ROI</w:t>
            </w:r>
          </w:p>
        </w:tc>
        <w:tc>
          <w:tcPr>
            <w:tcW w:type="dxa" w:w="21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0.98x</w:t>
            </w:r>
          </w:p>
        </w:tc>
        <w:tc>
          <w:tcPr>
            <w:tcW w:type="dxa" w:w="21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2.10x</w:t>
            </w:r>
          </w:p>
        </w:tc>
        <w:tc>
          <w:tcPr>
            <w:tcW w:type="dxa" w:w="20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+1.12x</w:t>
            </w:r>
          </w:p>
        </w:tc>
      </w:tr>
      <w:tr>
        <w:tc>
          <w:tcPr>
            <w:tcW w:type="dxa" w:w="30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AI Readiness (mean)</w:t>
            </w:r>
          </w:p>
        </w:tc>
        <w:tc>
          <w:tcPr>
            <w:tcW w:type="dxa" w:w="21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0.346</w:t>
            </w:r>
          </w:p>
        </w:tc>
        <w:tc>
          <w:tcPr>
            <w:tcW w:type="dxa" w:w="21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0.557</w:t>
            </w:r>
          </w:p>
        </w:tc>
        <w:tc>
          <w:tcPr>
            <w:tcW w:type="dxa" w:w="20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+61%</w:t>
            </w:r>
          </w:p>
        </w:tc>
      </w:tr>
      <w:tr>
        <w:tc>
          <w:tcPr>
            <w:tcW w:type="dxa" w:w="30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AI-Ready share</w:t>
            </w:r>
          </w:p>
        </w:tc>
        <w:tc>
          <w:tcPr>
            <w:tcW w:type="dxa" w:w="21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11%</w:t>
            </w:r>
          </w:p>
        </w:tc>
        <w:tc>
          <w:tcPr>
            <w:tcW w:type="dxa" w:w="21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68%</w:t>
            </w:r>
          </w:p>
        </w:tc>
        <w:tc>
          <w:tcPr>
            <w:tcW w:type="dxa" w:w="20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+57 pts</w:t>
            </w:r>
          </w:p>
        </w:tc>
      </w:tr>
      <w:tr>
        <w:tc>
          <w:tcPr>
            <w:tcW w:type="dxa" w:w="30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Post-AI Retention</w:t>
            </w:r>
          </w:p>
        </w:tc>
        <w:tc>
          <w:tcPr>
            <w:tcW w:type="dxa" w:w="21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86.2%</w:t>
            </w:r>
          </w:p>
        </w:tc>
        <w:tc>
          <w:tcPr>
            <w:tcW w:type="dxa" w:w="21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88.7%</w:t>
            </w:r>
          </w:p>
        </w:tc>
        <w:tc>
          <w:tcPr>
            <w:tcW w:type="dxa" w:w="20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+2.4 pts</w:t>
            </w:r>
          </w:p>
        </w:tc>
      </w:tr>
    </w:tbl>
    <w:p>
      <w:pPr>
        <w:spacing w:after="120" w:lin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F47" w:sz="12"/>
              <w:left w:val="none" w:color="FFFFFF" w:sz="0"/>
              <w:bottom w:val="single" w:color="8B6F47" w:sz="12"/>
              <w:right w:val="none" w:color="FFFFFF" w:sz="0"/>
            </w:tcBorders>
            <w:tcMar>
              <w:top w:type="dxa" w:w="200"/>
              <w:left w:type="dxa" w:w="240"/>
              <w:bottom w:type="dxa" w:w="200"/>
              <w:right w:type="dxa" w:w="240"/>
            </w:tcMar>
          </w:tcPr>
          <w:p>
            <w:pPr>
              <w:jc w:val="center"/>
            </w:pPr>
            <w:r>
              <w:rPr>
                <w:b/>
                <w:bCs/>
                <w:color w:val="0B1F3A"/>
                <w:sz w:val="56"/>
                <w:szCs w:val="56"/>
              </w:rPr>
              <w:t xml:space="preserve">$13.2M</w:t>
            </w:r>
          </w:p>
          <w:p>
            <w:pPr>
              <w:spacing w:before="60"/>
              <w:jc w:val="center"/>
            </w:pPr>
            <w:r>
              <w:rPr>
                <w:i/>
                <w:iCs/>
                <w:color w:val="4A4A4A"/>
                <w:sz w:val="22"/>
                <w:szCs w:val="22"/>
              </w:rPr>
              <w:t xml:space="preserve">Projected net benefit per 1,000 customers over 2026–2030</w:t>
            </w:r>
          </w:p>
        </w:tc>
      </w:tr>
    </w:tbl>
    <w:p>
      <w:pPr>
        <w:pStyle w:val="Heading2"/>
        <w:spacing w:after="120" w:before="240"/>
      </w:pPr>
      <w:r>
        <w:t xml:space="preserve">4.3 AI Readiness Correlates with ROI</w:t>
      </w:r>
    </w:p>
    <w:p>
      <w:pPr>
        <w:spacing w:after="120" w:line="300"/>
      </w:pPr>
      <w:r>
        <w:t xml:space="preserve">Readiness is the single most predictive feature in the ensemble. When we plot per-customer predicted ROI against readiness, the relationship is monotonic and steep above the 0.50 threshold — customers in the top two readiness quartiles generate the bulk of total modeled ROI. This is consistent with what the Sephora A/B simulation showed independently: AI interventions produced a small positive average effect but a large positive effect on the subpopulation already engaged with AI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3560"/>
        <w:gridCol w:w="3440"/>
      </w:tblGrid>
      <w:tr>
        <w:tc>
          <w:tcPr>
            <w:tcW w:type="dxa" w:w="236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Readiness Band</w:t>
            </w:r>
          </w:p>
        </w:tc>
        <w:tc>
          <w:tcPr>
            <w:tcW w:type="dxa" w:w="356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Interpretation</w:t>
            </w:r>
          </w:p>
        </w:tc>
        <w:tc>
          <w:tcPr>
            <w:tcW w:type="dxa" w:w="344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ROI Profile</w:t>
            </w:r>
          </w:p>
        </w:tc>
      </w:tr>
      <w:tr>
        <w:tc>
          <w:tcPr>
            <w:tcW w:type="dxa" w:w="236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Low (0.00–0.25)</w:t>
            </w:r>
          </w:p>
        </w:tc>
        <w:tc>
          <w:tcPr>
            <w:tcW w:type="dxa" w:w="356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AI-averse; prefers traditional service</w:t>
            </w:r>
          </w:p>
        </w:tc>
        <w:tc>
          <w:tcPr>
            <w:tcW w:type="dxa" w:w="34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Near or below break-even</w:t>
            </w:r>
          </w:p>
        </w:tc>
      </w:tr>
      <w:tr>
        <w:tc>
          <w:tcPr>
            <w:tcW w:type="dxa" w:w="236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Medium (0.25–0.50)</w:t>
            </w:r>
          </w:p>
        </w:tc>
        <w:tc>
          <w:tcPr>
            <w:tcW w:type="dxa" w:w="356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Open but not actively using AI tools</w:t>
            </w:r>
          </w:p>
        </w:tc>
        <w:tc>
          <w:tcPr>
            <w:tcW w:type="dxa" w:w="34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Marginal to moderate positive</w:t>
            </w:r>
          </w:p>
        </w:tc>
      </w:tr>
      <w:tr>
        <w:tc>
          <w:tcPr>
            <w:tcW w:type="dxa" w:w="236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High (0.50–0.75)</w:t>
            </w:r>
          </w:p>
        </w:tc>
        <w:tc>
          <w:tcPr>
            <w:tcW w:type="dxa" w:w="356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Active AI user; values personalization</w:t>
            </w:r>
          </w:p>
        </w:tc>
        <w:tc>
          <w:tcPr>
            <w:tcW w:type="dxa" w:w="34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Strongly positive</w:t>
            </w:r>
          </w:p>
        </w:tc>
      </w:tr>
      <w:tr>
        <w:tc>
          <w:tcPr>
            <w:tcW w:type="dxa" w:w="236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Very High (0.75–1.00)</w:t>
            </w:r>
          </w:p>
        </w:tc>
        <w:tc>
          <w:tcPr>
            <w:tcW w:type="dxa" w:w="356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Power AI adopter; vocal advocate</w:t>
            </w:r>
          </w:p>
        </w:tc>
        <w:tc>
          <w:tcPr>
            <w:tcW w:type="dxa" w:w="34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Top-decile ROI driver</w:t>
            </w:r>
          </w:p>
        </w:tc>
      </w:tr>
    </w:tbl>
    <w:p>
      <w:pPr>
        <w:pStyle w:val="Heading2"/>
        <w:spacing w:after="120" w:before="240"/>
      </w:pPr>
      <w:r>
        <w:t xml:space="preserve">4.4 AI Resistance Is Temporary</w:t>
      </w:r>
    </w:p>
    <w:p>
      <w:pPr>
        <w:spacing w:after="120" w:line="300"/>
      </w:pPr>
      <w:r>
        <w:t xml:space="preserve">The same survey respondents who reported the strongest resistance to AI in luxury were those with the lowest prior AI exposure. Respondents who had used AI tools — even for non-luxury tasks like travel research or restaurant booking — reported substantially higher desire for AI in luxury shopping. Resistance relies on unfamiliarity; familiarity dissolves it. This reframes the deployment question: the barrier is not belief, it is first exposure.</w:t>
      </w:r>
    </w:p>
    <w:p>
      <w:pPr>
        <w:pStyle w:val="Heading2"/>
        <w:spacing w:after="120" w:before="240"/>
      </w:pPr>
      <w:r>
        <w:t xml:space="preserve">4.5 Retention Lift Is the Quiet Winner</w:t>
      </w:r>
    </w:p>
    <w:p>
      <w:pPr>
        <w:spacing w:after="120" w:line="300"/>
      </w:pPr>
      <w:r>
        <w:t xml:space="preserve">A +2.4 point retention improvement over five years looks small. It isn't. Because retention multiplies CLV and because the churn-cost multiplier is 5x, every retained customer contributes disproportionately more to the ROI stack than a newly acquired one. In the model, retention savings are of the same order of magnitude as AI-attributed revenue uplift, and they are stickier — retained customers keep compounding.</w:t>
      </w:r>
    </w:p>
    <w:p>
      <w:pPr>
        <w:pStyle w:val="Heading2"/>
        <w:spacing w:after="120" w:before="240"/>
      </w:pPr>
      <w:r>
        <w:t xml:space="preserve">4.6 Per-Customer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c>
          <w:tcPr>
            <w:tcW w:type="dxa" w:w="568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Component</w:t>
            </w:r>
          </w:p>
        </w:tc>
        <w:tc>
          <w:tcPr>
            <w:tcW w:type="dxa" w:w="368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$/customer (modeled mean)</w:t>
            </w:r>
          </w:p>
        </w:tc>
      </w:tr>
      <w:tr>
        <w:tc>
          <w:tcPr>
            <w:tcW w:type="dxa" w:w="5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AI revenue uplift</w:t>
            </w:r>
          </w:p>
        </w:tc>
        <w:tc>
          <w:tcPr>
            <w:tcW w:type="dxa" w:w="3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$6,179</w:t>
            </w:r>
          </w:p>
        </w:tc>
      </w:tr>
      <w:tr>
        <w:tc>
          <w:tcPr>
            <w:tcW w:type="dxa" w:w="5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Retention savings</w:t>
            </w:r>
          </w:p>
        </w:tc>
        <w:tc>
          <w:tcPr>
            <w:tcW w:type="dxa" w:w="3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$5,089</w:t>
            </w:r>
          </w:p>
        </w:tc>
      </w:tr>
      <w:tr>
        <w:tc>
          <w:tcPr>
            <w:tcW w:type="dxa" w:w="5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AI implementation cost</w:t>
            </w:r>
          </w:p>
        </w:tc>
        <w:tc>
          <w:tcPr>
            <w:tcW w:type="dxa" w:w="3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$5,328</w:t>
            </w:r>
          </w:p>
        </w:tc>
      </w:tr>
      <w:tr>
        <w:tc>
          <w:tcPr>
            <w:tcW w:type="dxa" w:w="5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Net benefit</w:t>
            </w:r>
          </w:p>
        </w:tc>
        <w:tc>
          <w:tcPr>
            <w:tcW w:type="dxa" w:w="3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$5,940</w:t>
            </w:r>
          </w:p>
        </w:tc>
      </w:tr>
      <w:tr>
        <w:tc>
          <w:tcPr>
            <w:tcW w:type="dxa" w:w="5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Net ROI (ratio)</w:t>
            </w:r>
          </w:p>
        </w:tc>
        <w:tc>
          <w:tcPr>
            <w:tcW w:type="dxa" w:w="3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1.11x (2026 cleaned sample)</w:t>
            </w:r>
          </w:p>
        </w:tc>
      </w:tr>
    </w:tbl>
    <w:p>
      <w:r>
        <w:br w:type="page"/>
      </w:r>
    </w:p>
    <w:p>
      <w:pPr>
        <w:pStyle w:val="Heading1"/>
        <w:spacing w:after="120" w:before="240"/>
      </w:pPr>
      <w:r>
        <w:t xml:space="preserve">5. Strategic Implications</w:t>
      </w:r>
    </w:p>
    <w:p>
      <w:pPr>
        <w:pStyle w:val="Heading2"/>
        <w:spacing w:after="120" w:before="240"/>
      </w:pPr>
      <w:r>
        <w:t xml:space="preserve">5.1 It Is Not About AI, It Is About Visibility</w:t>
      </w:r>
    </w:p>
    <w:p>
      <w:pPr>
        <w:spacing w:after="120" w:line="300"/>
      </w:pPr>
      <w:r>
        <w:t xml:space="preserve">In most sectors, visible AI signals innovation, efficiency, and modernity. Consumers associate automation with speed and accuracy, and brands compete to show that they have deployed it. In luxury, visibility inverts the signal. Consumers associate visible automation with the erosion of craft and intimacy. The same survey finding recurs throughout our research: sixty percent of luxury consumers feel AI makes their experience generic.</w:t>
      </w:r>
    </w:p>
    <w:p>
      <w:pPr>
        <w:spacing w:after="120" w:line="300"/>
      </w:pPr>
      <w:r>
        <w:t xml:space="preserve">The implication is operational, not philosophical. Agentic AI in luxury should run underneath the experience, not on top of it: clienteling intelligence that briefs a sales associate before a call, inventory and outfit orchestration behind the scenes, authentication and provenance tracking that never surfaces unless there is a problem. The customer should feel known, not processed.</w:t>
      </w:r>
    </w:p>
    <w:p>
      <w:pPr>
        <w:pStyle w:val="Heading2"/>
        <w:spacing w:after="120" w:before="240"/>
      </w:pPr>
      <w:r>
        <w:t xml:space="preserve">5.2 The Core Question for Luxury</w:t>
      </w:r>
    </w:p>
    <w:p>
      <w:pPr>
        <w:spacing w:after="120" w:line="300"/>
      </w:pPr>
      <w:r>
        <w:t xml:space="preserve">In most sectors the AI question is "how do we scale efficiency?" In luxury it is the inverse: how do we scale intimacy? Agentic AI may be the only credible answer — but only if it stays invisible. A badly deployed agentic AI does more brand damage than no AI at all. The asymmetry matters: on the upside you gain retention and personalization; on the downside you can accelerate the very generic-ness consumers already resent.</w:t>
      </w:r>
    </w:p>
    <w:p>
      <w:pPr>
        <w:pStyle w:val="Heading2"/>
        <w:spacing w:after="120" w:before="240"/>
      </w:pPr>
      <w:r>
        <w:t xml:space="preserve">5.3 Agentic Commerce as the Next Frontier</w:t>
      </w:r>
    </w:p>
    <w:p>
      <w:pPr>
        <w:spacing w:after="120" w:line="300"/>
      </w:pPr>
      <w:r>
        <w:t xml:space="preserve">Agentic commerce shifts AI from a recommendation engine to an orchestrator of end-to-end client moments — enabling seamless, personalized customer journeys that span pre-purchase research, styling, purchase, fulfillment, after-care, and re-engagement. The Louis Vuitton concierge model, where AI is already booking restaurants and travel for VIC clients, is an early signal of where this goes.</w:t>
      </w:r>
    </w:p>
    <w:p>
      <w:pPr>
        <w:pStyle w:val="Heading1"/>
        <w:spacing w:after="120" w:before="240"/>
      </w:pPr>
      <w:r>
        <w:t xml:space="preserve">6. Recommendations</w:t>
      </w:r>
    </w:p>
    <w:p>
      <w:pPr>
        <w:pStyle w:val="Heading2"/>
        <w:spacing w:after="120" w:before="240"/>
      </w:pPr>
      <w:r>
        <w:t xml:space="preserve">6.1 Prioritize by Readiness × CLV</w:t>
      </w:r>
    </w:p>
    <w:p>
      <w:pPr>
        <w:spacing w:after="120" w:line="300"/>
      </w:pPr>
      <w:r>
        <w:t xml:space="preserve">Deploy agentic AI to the cells where both readiness (&gt;0.50) and CLV (top two income tiers) are high. This is the highest-leverage path to positive near-term ROI and gives Deloitte a clean board narrative. Lower-readiness / lower-CLV cells should be left untouched in year one; the model shows near-zero or modestly negative ROI there after allocated cost.</w:t>
      </w:r>
    </w:p>
    <w:p>
      <w:pPr>
        <w:pStyle w:val="Heading2"/>
        <w:spacing w:after="120" w:before="240"/>
      </w:pPr>
      <w:r>
        <w:t xml:space="preserve">6.2 Sequence Use Cases by Invisibility</w:t>
      </w:r>
    </w:p>
    <w:p>
      <w:pPr>
        <w:spacing w:after="120" w:line="300"/>
      </w:pPr>
      <w:r>
        <w:t xml:space="preserve">Rank use cases by how invisibly they can deliver value, and launch in that order. Our recommended sequence:</w:t>
      </w:r>
    </w:p>
    <w:p>
      <w:pPr>
        <w:pStyle w:val="ListParagraph"/>
        <w:numPr>
          <w:ilvl w:val="0"/>
          <w:numId w:val="2"/>
        </w:numPr>
        <w:spacing w:after="80"/>
      </w:pPr>
      <w:r>
        <w:t xml:space="preserve">Clienteling intelligence for associates — internal-facing, invisible to the customer.</w:t>
      </w:r>
    </w:p>
    <w:p>
      <w:pPr>
        <w:pStyle w:val="ListParagraph"/>
        <w:numPr>
          <w:ilvl w:val="0"/>
          <w:numId w:val="2"/>
        </w:numPr>
        <w:spacing w:after="80"/>
      </w:pPr>
      <w:r>
        <w:t xml:space="preserve">Authentication and provenance tracking — e.g., the Burberry model.</w:t>
      </w:r>
    </w:p>
    <w:p>
      <w:pPr>
        <w:pStyle w:val="ListParagraph"/>
        <w:numPr>
          <w:ilvl w:val="0"/>
          <w:numId w:val="2"/>
        </w:numPr>
        <w:spacing w:after="80"/>
      </w:pPr>
      <w:r>
        <w:t xml:space="preserve">Predictive inventory and outfit curation — runs behind the scenes, surfaces as human curation.</w:t>
      </w:r>
    </w:p>
    <w:p>
      <w:pPr>
        <w:pStyle w:val="ListParagraph"/>
        <w:numPr>
          <w:ilvl w:val="0"/>
          <w:numId w:val="2"/>
        </w:numPr>
        <w:spacing w:after="80"/>
      </w:pPr>
      <w:r>
        <w:t xml:space="preserve">Post-purchase concierge and re-engagement — visible, but framed as a VIC benefit.</w:t>
      </w:r>
    </w:p>
    <w:p>
      <w:pPr>
        <w:pStyle w:val="ListParagraph"/>
        <w:numPr>
          <w:ilvl w:val="0"/>
          <w:numId w:val="2"/>
        </w:numPr>
        <w:spacing w:after="80"/>
      </w:pPr>
      <w:r>
        <w:t xml:space="preserve">Customer-facing chat and generic recommendations — last, and only with careful brand framing.</w:t>
      </w:r>
    </w:p>
    <w:p>
      <w:pPr>
        <w:pStyle w:val="Heading2"/>
        <w:spacing w:after="120" w:before="240"/>
      </w:pPr>
      <w:r>
        <w:t xml:space="preserve">6.3 Protect the Human Experience</w:t>
      </w:r>
    </w:p>
    <w:p>
      <w:pPr>
        <w:spacing w:after="120" w:line="300"/>
      </w:pPr>
      <w:r>
        <w:t xml:space="preserve">Survey respondents are most comfortable with a "balanced mix" operating model — AI-enabled associate rather than AI-instead-of-associate. Agentic AI should handle search, retrieval, and coordination; human sales associates retain the relationship, the close, and the craft storytelling.</w:t>
      </w:r>
    </w:p>
    <w:p>
      <w:pPr>
        <w:pStyle w:val="Heading2"/>
        <w:spacing w:after="120" w:before="240"/>
      </w:pPr>
      <w:r>
        <w:t xml:space="preserve">6.4 Cap the Cost Envelope at 3%</w:t>
      </w:r>
    </w:p>
    <w:p>
      <w:pPr>
        <w:spacing w:after="120" w:line="300"/>
      </w:pPr>
      <w:r>
        <w:t xml:space="preserve">The model uses a 3% allocated cost ratio, consistent with industry OSINT. At that cap, net ROI remains positive at the portfolio level even if only half of the projected 20% personalization lift materializes. Deloitte should recommend the 3% cap as a governance rail to client CFOs.</w:t>
      </w:r>
    </w:p>
    <w:p>
      <w:pPr>
        <w:pStyle w:val="Heading2"/>
        <w:spacing w:after="120" w:before="240"/>
      </w:pPr>
      <w:r>
        <w:t xml:space="preserve">6.5 Invest in the Readiness Pipeline</w:t>
      </w:r>
    </w:p>
    <w:p>
      <w:pPr>
        <w:spacing w:after="120" w:line="300"/>
      </w:pPr>
      <w:r>
        <w:t xml:space="preserve">Because readiness is the single most predictive feature and because 57 points of the projected 68% AI-ready share come from cohort migration rather than organic uplift, the highest-return non-product investment is customer AI literacy — opt-in guided AI tours, low-stakes first-exposure moments (gift finding, travel planning), and post-purchase concierge touchpoints that normalize AI assistance.</w:t>
      </w:r>
    </w:p>
    <w:p>
      <w:pPr>
        <w:pStyle w:val="Heading1"/>
        <w:spacing w:after="120" w:before="240"/>
      </w:pPr>
      <w:r>
        <w:t xml:space="preserve">7. What Comes Next for Luxury AI</w:t>
      </w:r>
    </w:p>
    <w:p>
      <w:pPr>
        <w:spacing w:after="120" w:line="300"/>
      </w:pPr>
      <w:r>
        <w:t xml:space="preserve">Looking beyond 2030, three vectors will define the next phase of AI in luxury. Each is simultaneously an opportunity and a governance risk.</w:t>
      </w:r>
    </w:p>
    <w:p>
      <w:pPr>
        <w:pStyle w:val="Heading2"/>
        <w:spacing w:after="120" w:before="240"/>
      </w:pPr>
      <w:r>
        <w:t xml:space="preserve">7.1 Autonomous Agentic Commerce</w:t>
      </w:r>
    </w:p>
    <w:p>
      <w:pPr>
        <w:spacing w:after="120" w:line="300"/>
      </w:pPr>
      <w:r>
        <w:t xml:space="preserve">AI is already booking restaurants for Louis Vuitton clients. What comes after is the end-to-end autonomous agent — booking fittings, pre-selecting items, coordinating delivery, negotiating after-care — with the client never touching a form. Luxury brands that build this capability early will define the category's new baseline. Brands that wait will be price-compared against peers who got there first.</w:t>
      </w:r>
    </w:p>
    <w:p>
      <w:pPr>
        <w:pStyle w:val="Heading2"/>
        <w:spacing w:after="120" w:before="240"/>
      </w:pPr>
      <w:r>
        <w:t xml:space="preserve">7.2 Brand Equity Risk Modeling</w:t>
      </w:r>
    </w:p>
    <w:p>
      <w:pPr>
        <w:spacing w:after="120" w:line="300"/>
      </w:pPr>
      <w:r>
        <w:t xml:space="preserve">What is the true cost of one public agentic misstep? One viral moment of a luxury AI getting a VIC's order wrong, or doing something tone-deaf, can cost more than a decade of careful brand building. Risk modeling for agentic failures — not just legal risk but brand-equity risk — is an underdeveloped discipline and a natural Deloitte offering.</w:t>
      </w:r>
    </w:p>
    <w:p>
      <w:pPr>
        <w:pStyle w:val="Heading2"/>
        <w:spacing w:after="120" w:before="240"/>
      </w:pPr>
      <w:r>
        <w:t xml:space="preserve">7.3 Regulatory Compliance</w:t>
      </w:r>
    </w:p>
    <w:p>
      <w:pPr>
        <w:spacing w:after="120" w:line="300"/>
      </w:pPr>
      <w:r>
        <w:t xml:space="preserve">The EU AI Act is already in motion, and the Digital Product Passport regime arrives in phases through 2027. Both have direct implications for agentic systems in luxury: explainability requirements for high-risk AI, product-level provenance tracking, and consumer data-use disclosure. Compliance is not a blocker — it is a competitive sorting mechanism. Brands that move carefully and deliberately now will define what luxury means next.</w:t>
      </w:r>
    </w:p>
    <w:p>
      <w:pPr>
        <w:pStyle w:val="Heading1"/>
        <w:spacing w:after="120" w:before="240"/>
      </w:pPr>
      <w:r>
        <w:t xml:space="preserve">8. Implementation Considerations</w:t>
      </w:r>
    </w:p>
    <w:p>
      <w:pPr>
        <w:pStyle w:val="Heading2"/>
        <w:spacing w:after="120" w:before="240"/>
      </w:pPr>
      <w:r>
        <w:t xml:space="preserve">8.1 Data Readiness</w:t>
      </w:r>
    </w:p>
    <w:p>
      <w:pPr>
        <w:spacing w:after="120" w:line="300"/>
      </w:pPr>
      <w:r>
        <w:t xml:space="preserve">To deploy AVANT and the underlying ROI model on a client engagement, the minimum required inputs are: customer age band, income tier or observed annual spend, purchase frequency, and any available AI-engagement signals (web interaction logs, chat transcripts, app usage). If AI-engagement signals are unavailable in the client's CRM, a 100–300 respondent readiness survey is sufficient to initialize the readiness composite.</w:t>
      </w:r>
    </w:p>
    <w:p>
      <w:pPr>
        <w:pStyle w:val="Heading2"/>
        <w:spacing w:after="120" w:before="240"/>
      </w:pPr>
      <w:r>
        <w:t xml:space="preserve">8.2 Operating Model</w:t>
      </w:r>
    </w:p>
    <w:p>
      <w:pPr>
        <w:spacing w:after="120" w:line="300"/>
      </w:pPr>
      <w:r>
        <w:t xml:space="preserve">Three organizational roles are required to run this at a client: a data translator who owns the feature pipeline, a retail/CX lead who owns use-case sequencing, and an ML engineer who owns the model in production. Deloitte's standard AI delivery squad shape already fits.</w:t>
      </w:r>
    </w:p>
    <w:p>
      <w:pPr>
        <w:pStyle w:val="Heading2"/>
        <w:spacing w:after="120" w:before="240"/>
      </w:pPr>
      <w:r>
        <w:t xml:space="preserve">8.3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80"/>
        <w:gridCol w:w="5080"/>
      </w:tblGrid>
      <w:tr>
        <w:tc>
          <w:tcPr>
            <w:tcW w:type="dxa" w:w="428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Risk</w:t>
            </w:r>
          </w:p>
        </w:tc>
        <w:tc>
          <w:tcPr>
            <w:tcW w:type="dxa" w:w="508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Mitigation</w:t>
            </w:r>
          </w:p>
        </w:tc>
      </w:tr>
      <w:tr>
        <w:tc>
          <w:tcPr>
            <w:tcW w:type="dxa" w:w="42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Small real-sample size (n=43) limits transfer-model variance estimates.</w:t>
            </w:r>
          </w:p>
        </w:tc>
        <w:tc>
          <w:tcPr>
            <w:tcW w:type="dxa" w:w="50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Treat real-data R² as indicative; plan a 300+ respondent confirmatory survey before production.</w:t>
            </w:r>
          </w:p>
        </w:tc>
      </w:tr>
      <w:tr>
        <w:tc>
          <w:tcPr>
            <w:tcW w:type="dxa" w:w="42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Synthetic training set is biased AI-positive by design.</w:t>
            </w:r>
          </w:p>
        </w:tc>
        <w:tc>
          <w:tcPr>
            <w:tcW w:type="dxa" w:w="50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Retrain on client CRM data before deployment; the synthetic set is a scaffolding set, not a production set.</w:t>
            </w:r>
          </w:p>
        </w:tc>
      </w:tr>
      <w:tr>
        <w:tc>
          <w:tcPr>
            <w:tcW w:type="dxa" w:w="42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OSINT retention benchmarks are industry averages, not brand-specific.</w:t>
            </w:r>
          </w:p>
        </w:tc>
        <w:tc>
          <w:tcPr>
            <w:tcW w:type="dxa" w:w="50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Replace 82% baseline with client-specific retention before ROI sign-off.</w:t>
            </w:r>
          </w:p>
        </w:tc>
      </w:tr>
      <w:tr>
        <w:tc>
          <w:tcPr>
            <w:tcW w:type="dxa" w:w="42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20% personalization lift is an upper-bound industry assumption.</w:t>
            </w:r>
          </w:p>
        </w:tc>
        <w:tc>
          <w:tcPr>
            <w:tcW w:type="dxa" w:w="50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Run AVANT at 10% and 15% sensitivities and present the range to the board.</w:t>
            </w:r>
          </w:p>
        </w:tc>
      </w:tr>
      <w:tr>
        <w:tc>
          <w:tcPr>
            <w:tcW w:type="dxa" w:w="42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3% AI cost ratio is an allocation assumption, not a fully loaded TCO.</w:t>
            </w:r>
          </w:p>
        </w:tc>
        <w:tc>
          <w:tcPr>
            <w:tcW w:type="dxa" w:w="50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Engage client finance for loaded cost; re-run ROI with actual TCO inputs.</w:t>
            </w:r>
          </w:p>
        </w:tc>
      </w:tr>
      <w:tr>
        <w:tc>
          <w:tcPr>
            <w:tcW w:type="dxa" w:w="42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Visible AI risk — brand equity damage from a high-profile agentic failure.</w:t>
            </w:r>
          </w:p>
        </w:tc>
        <w:tc>
          <w:tcPr>
            <w:tcW w:type="dxa" w:w="50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Adopt invisible-first sequencing (Section 6.2); run controlled A/B before customer-facing launch.</w:t>
            </w:r>
          </w:p>
        </w:tc>
      </w:tr>
    </w:tbl>
    <w:p>
      <w:pPr>
        <w:pStyle w:val="Heading2"/>
        <w:spacing w:after="120" w:before="240"/>
      </w:pPr>
      <w:r>
        <w:t xml:space="preserve">8.4 Measurement Plan</w:t>
      </w:r>
    </w:p>
    <w:p>
      <w:pPr>
        <w:spacing w:after="120" w:line="300"/>
      </w:pPr>
      <w:r>
        <w:t xml:space="preserve">After deployment, monitor four KPIs monthly: (i) actual retention rate vs. the 82% baseline, (ii) AI-attributed revenue uplift measured against a control holdout, (iii) per-customer allocated AI cost, and (iv) net ROI recomputed using actuals. A 10% customer A/B holdout for six months post-launch is recommended to confirm the uplift estimate.</w:t>
      </w:r>
    </w:p>
    <w:p>
      <w:pPr>
        <w:pStyle w:val="Heading1"/>
        <w:spacing w:after="120" w:before="240"/>
      </w:pPr>
      <w:r>
        <w:t xml:space="preserve">9. Data Dictionary</w:t>
      </w:r>
    </w:p>
    <w:p>
      <w:pPr>
        <w:spacing w:after="120" w:line="300"/>
      </w:pPr>
      <w:r>
        <w:t xml:space="preserve">Every feature in the modeling dataframe. Raw Qualtrics columns Q1–Q23 are carried through untouched (cleaned against a per-column whitelist); all other columns are derived.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80"/>
        <w:gridCol w:w="1600"/>
        <w:gridCol w:w="4680"/>
      </w:tblGrid>
      <w:tr>
        <w:tc>
          <w:tcPr>
            <w:tcW w:type="dxa" w:w="180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Field</w:t>
            </w:r>
          </w:p>
        </w:tc>
        <w:tc>
          <w:tcPr>
            <w:tcW w:type="dxa" w:w="128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Type</w:t>
            </w:r>
          </w:p>
        </w:tc>
        <w:tc>
          <w:tcPr>
            <w:tcW w:type="dxa" w:w="160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Source</w:t>
            </w:r>
          </w:p>
        </w:tc>
        <w:tc>
          <w:tcPr>
            <w:tcW w:type="dxa" w:w="468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Description</w:t>
            </w:r>
          </w:p>
        </w:tc>
      </w:tr>
      <w:tr>
        <w:tc>
          <w:tcPr>
            <w:tcW w:type="dxa" w:w="1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Q1–Q23</w:t>
            </w:r>
          </w:p>
        </w:tc>
        <w:tc>
          <w:tcPr>
            <w:tcW w:type="dxa" w:w="12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categorical/text</w:t>
            </w:r>
          </w:p>
        </w:tc>
        <w:tc>
          <w:tcPr>
            <w:tcW w:type="dxa" w:w="16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survey</w:t>
            </w:r>
          </w:p>
        </w:tc>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Raw Qualtrics survey responses; cleaned against per-column VALID_VALUES whitelist</w:t>
            </w:r>
          </w:p>
        </w:tc>
      </w:tr>
      <w:tr>
        <w:tc>
          <w:tcPr>
            <w:tcW w:type="dxa" w:w="1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annual_spend</w:t>
            </w:r>
          </w:p>
        </w:tc>
        <w:tc>
          <w:tcPr>
            <w:tcW w:type="dxa" w:w="12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int $</w:t>
            </w:r>
          </w:p>
        </w:tc>
        <w:tc>
          <w:tcPr>
            <w:tcW w:type="dxa" w:w="16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Q3 + OSINT</w:t>
            </w:r>
          </w:p>
        </w:tc>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Income-tier-derived estimated annual luxury spend</w:t>
            </w:r>
          </w:p>
        </w:tc>
      </w:tr>
      <w:tr>
        <w:tc>
          <w:tcPr>
            <w:tcW w:type="dxa" w:w="1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purchase_freq_weight</w:t>
            </w:r>
          </w:p>
        </w:tc>
        <w:tc>
          <w:tcPr>
            <w:tcW w:type="dxa" w:w="12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float [0–1]</w:t>
            </w:r>
          </w:p>
        </w:tc>
        <w:tc>
          <w:tcPr>
            <w:tcW w:type="dxa" w:w="16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Q4</w:t>
            </w:r>
          </w:p>
        </w:tc>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Frequency weight used to scale CLV</w:t>
            </w:r>
          </w:p>
        </w:tc>
      </w:tr>
      <w:tr>
        <w:tc>
          <w:tcPr>
            <w:tcW w:type="dxa" w:w="1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digital_propensity</w:t>
            </w:r>
          </w:p>
        </w:tc>
        <w:tc>
          <w:tcPr>
            <w:tcW w:type="dxa" w:w="12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float [0–1]</w:t>
            </w:r>
          </w:p>
        </w:tc>
        <w:tc>
          <w:tcPr>
            <w:tcW w:type="dxa" w:w="16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Q1 + OSINT</w:t>
            </w:r>
          </w:p>
        </w:tc>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Age-band-derived digital engagement propensity</w:t>
            </w:r>
          </w:p>
        </w:tc>
      </w:tr>
      <w:tr>
        <w:tc>
          <w:tcPr>
            <w:tcW w:type="dxa" w:w="1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satisfaction_score</w:t>
            </w:r>
          </w:p>
        </w:tc>
        <w:tc>
          <w:tcPr>
            <w:tcW w:type="dxa" w:w="12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int [1–5]</w:t>
            </w:r>
          </w:p>
        </w:tc>
        <w:tc>
          <w:tcPr>
            <w:tcW w:type="dxa" w:w="16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Q7</w:t>
            </w:r>
          </w:p>
        </w:tc>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Luxury shopping satisfaction (Likert)</w:t>
            </w:r>
          </w:p>
        </w:tc>
      </w:tr>
      <w:tr>
        <w:tc>
          <w:tcPr>
            <w:tcW w:type="dxa" w:w="1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ai_usage_freq</w:t>
            </w:r>
          </w:p>
        </w:tc>
        <w:tc>
          <w:tcPr>
            <w:tcW w:type="dxa" w:w="12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int [0–3]</w:t>
            </w:r>
          </w:p>
        </w:tc>
        <w:tc>
          <w:tcPr>
            <w:tcW w:type="dxa" w:w="16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Q13</w:t>
            </w:r>
          </w:p>
        </w:tc>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Frequency of AI tool use for luxury shopping</w:t>
            </w:r>
          </w:p>
        </w:tc>
      </w:tr>
      <w:tr>
        <w:tc>
          <w:tcPr>
            <w:tcW w:type="dxa" w:w="1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ai_helpfulness</w:t>
            </w:r>
          </w:p>
        </w:tc>
        <w:tc>
          <w:tcPr>
            <w:tcW w:type="dxa" w:w="12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int [0–4]</w:t>
            </w:r>
          </w:p>
        </w:tc>
        <w:tc>
          <w:tcPr>
            <w:tcW w:type="dxa" w:w="16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Q19</w:t>
            </w:r>
          </w:p>
        </w:tc>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Perceived helpfulness of AI tools</w:t>
            </w:r>
          </w:p>
        </w:tc>
      </w:tr>
      <w:tr>
        <w:tc>
          <w:tcPr>
            <w:tcW w:type="dxa" w:w="1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ai_desire</w:t>
            </w:r>
          </w:p>
        </w:tc>
        <w:tc>
          <w:tcPr>
            <w:tcW w:type="dxa" w:w="12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int [0–4]</w:t>
            </w:r>
          </w:p>
        </w:tc>
        <w:tc>
          <w:tcPr>
            <w:tcW w:type="dxa" w:w="16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Q21</w:t>
            </w:r>
          </w:p>
        </w:tc>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Desire for more AI in luxury shopping</w:t>
            </w:r>
          </w:p>
        </w:tc>
      </w:tr>
      <w:tr>
        <w:tc>
          <w:tcPr>
            <w:tcW w:type="dxa" w:w="1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ai_balance</w:t>
            </w:r>
          </w:p>
        </w:tc>
        <w:tc>
          <w:tcPr>
            <w:tcW w:type="dxa" w:w="12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int [0–2]</w:t>
            </w:r>
          </w:p>
        </w:tc>
        <w:tc>
          <w:tcPr>
            <w:tcW w:type="dxa" w:w="16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Q22</w:t>
            </w:r>
          </w:p>
        </w:tc>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Preferred AI / human service mix</w:t>
            </w:r>
          </w:p>
        </w:tc>
      </w:tr>
      <w:tr>
        <w:tc>
          <w:tcPr>
            <w:tcW w:type="dxa" w:w="1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auth_trust</w:t>
            </w:r>
          </w:p>
        </w:tc>
        <w:tc>
          <w:tcPr>
            <w:tcW w:type="dxa" w:w="12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int [0–3]</w:t>
            </w:r>
          </w:p>
        </w:tc>
        <w:tc>
          <w:tcPr>
            <w:tcW w:type="dxa" w:w="16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Q11</w:t>
            </w:r>
          </w:p>
        </w:tc>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Trust in authentication methods</w:t>
            </w:r>
          </w:p>
        </w:tc>
      </w:tr>
      <w:tr>
        <w:tc>
          <w:tcPr>
            <w:tcW w:type="dxa" w:w="1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ai_for_decision</w:t>
            </w:r>
          </w:p>
        </w:tc>
        <w:tc>
          <w:tcPr>
            <w:tcW w:type="dxa" w:w="12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binary</w:t>
            </w:r>
          </w:p>
        </w:tc>
        <w:tc>
          <w:tcPr>
            <w:tcW w:type="dxa" w:w="16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Q16</w:t>
            </w:r>
          </w:p>
        </w:tc>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Whether AI influenced a recent luxury decision</w:t>
            </w:r>
          </w:p>
        </w:tc>
      </w:tr>
      <w:tr>
        <w:tc>
          <w:tcPr>
            <w:tcW w:type="dxa" w:w="1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ai_use_case_count</w:t>
            </w:r>
          </w:p>
        </w:tc>
        <w:tc>
          <w:tcPr>
            <w:tcW w:type="dxa" w:w="12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int [0–7]</w:t>
            </w:r>
          </w:p>
        </w:tc>
        <w:tc>
          <w:tcPr>
            <w:tcW w:type="dxa" w:w="16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Q15</w:t>
            </w:r>
          </w:p>
        </w:tc>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Number of luxury AI use cases adopted</w:t>
            </w:r>
          </w:p>
        </w:tc>
      </w:tr>
      <w:tr>
        <w:tc>
          <w:tcPr>
            <w:tcW w:type="dxa" w:w="1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ai_concern_count</w:t>
            </w:r>
          </w:p>
        </w:tc>
        <w:tc>
          <w:tcPr>
            <w:tcW w:type="dxa" w:w="12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int [0–4]</w:t>
            </w:r>
          </w:p>
        </w:tc>
        <w:tc>
          <w:tcPr>
            <w:tcW w:type="dxa" w:w="16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Q20</w:t>
            </w:r>
          </w:p>
        </w:tc>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Number of AI concerns raised</w:t>
            </w:r>
          </w:p>
        </w:tc>
      </w:tr>
      <w:tr>
        <w:tc>
          <w:tcPr>
            <w:tcW w:type="dxa" w:w="1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desired_ai_roles</w:t>
            </w:r>
          </w:p>
        </w:tc>
        <w:tc>
          <w:tcPr>
            <w:tcW w:type="dxa" w:w="12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int [0–5]</w:t>
            </w:r>
          </w:p>
        </w:tc>
        <w:tc>
          <w:tcPr>
            <w:tcW w:type="dxa" w:w="16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Q23</w:t>
            </w:r>
          </w:p>
        </w:tc>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Number of roles respondent wants AI to play</w:t>
            </w:r>
          </w:p>
        </w:tc>
      </w:tr>
      <w:tr>
        <w:tc>
          <w:tcPr>
            <w:tcW w:type="dxa" w:w="1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brand_count</w:t>
            </w:r>
          </w:p>
        </w:tc>
        <w:tc>
          <w:tcPr>
            <w:tcW w:type="dxa" w:w="12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int [0–8]</w:t>
            </w:r>
          </w:p>
        </w:tc>
        <w:tc>
          <w:tcPr>
            <w:tcW w:type="dxa" w:w="16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Q5</w:t>
            </w:r>
          </w:p>
        </w:tc>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Number of tracked luxury brands purchased</w:t>
            </w:r>
          </w:p>
        </w:tc>
      </w:tr>
      <w:tr>
        <w:tc>
          <w:tcPr>
            <w:tcW w:type="dxa" w:w="1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is_female</w:t>
            </w:r>
          </w:p>
        </w:tc>
        <w:tc>
          <w:tcPr>
            <w:tcW w:type="dxa" w:w="12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binary</w:t>
            </w:r>
          </w:p>
        </w:tc>
        <w:tc>
          <w:tcPr>
            <w:tcW w:type="dxa" w:w="16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Q2</w:t>
            </w:r>
          </w:p>
        </w:tc>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Gender indicator</w:t>
            </w:r>
          </w:p>
        </w:tc>
      </w:tr>
      <w:tr>
        <w:tc>
          <w:tcPr>
            <w:tcW w:type="dxa" w:w="1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ai_assistant_freq</w:t>
            </w:r>
          </w:p>
        </w:tc>
        <w:tc>
          <w:tcPr>
            <w:tcW w:type="dxa" w:w="12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int [0–3]</w:t>
            </w:r>
          </w:p>
        </w:tc>
        <w:tc>
          <w:tcPr>
            <w:tcW w:type="dxa" w:w="16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Q18</w:t>
            </w:r>
          </w:p>
        </w:tc>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Frequency of general AI personal assistant use</w:t>
            </w:r>
          </w:p>
        </w:tc>
      </w:tr>
      <w:tr>
        <w:tc>
          <w:tcPr>
            <w:tcW w:type="dxa" w:w="1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ai_readiness</w:t>
            </w:r>
          </w:p>
        </w:tc>
        <w:tc>
          <w:tcPr>
            <w:tcW w:type="dxa" w:w="12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float [0–1]</w:t>
            </w:r>
          </w:p>
        </w:tc>
        <w:tc>
          <w:tcPr>
            <w:tcW w:type="dxa" w:w="16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composite</w:t>
            </w:r>
          </w:p>
        </w:tc>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Weighted composite of nine AI engagement signals</w:t>
            </w:r>
          </w:p>
        </w:tc>
      </w:tr>
      <w:tr>
        <w:tc>
          <w:tcPr>
            <w:tcW w:type="dxa" w:w="1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clv</w:t>
            </w:r>
          </w:p>
        </w:tc>
        <w:tc>
          <w:tcPr>
            <w:tcW w:type="dxa" w:w="12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float $</w:t>
            </w:r>
          </w:p>
        </w:tc>
        <w:tc>
          <w:tcPr>
            <w:tcW w:type="dxa" w:w="16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derived</w:t>
            </w:r>
          </w:p>
        </w:tc>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annual_spend × 8.5 × purchase_freq_weight</w:t>
            </w:r>
          </w:p>
        </w:tc>
      </w:tr>
      <w:tr>
        <w:tc>
          <w:tcPr>
            <w:tcW w:type="dxa" w:w="1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retention_improvement</w:t>
            </w:r>
          </w:p>
        </w:tc>
        <w:tc>
          <w:tcPr>
            <w:tcW w:type="dxa" w:w="12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float [0–1]</w:t>
            </w:r>
          </w:p>
        </w:tc>
        <w:tc>
          <w:tcPr>
            <w:tcW w:type="dxa" w:w="16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derived</w:t>
            </w:r>
          </w:p>
        </w:tc>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Retention uplift attributable to AI</w:t>
            </w:r>
          </w:p>
        </w:tc>
      </w:tr>
      <w:tr>
        <w:tc>
          <w:tcPr>
            <w:tcW w:type="dxa" w:w="1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retention_adjusted_clv</w:t>
            </w:r>
          </w:p>
        </w:tc>
        <w:tc>
          <w:tcPr>
            <w:tcW w:type="dxa" w:w="12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float $</w:t>
            </w:r>
          </w:p>
        </w:tc>
        <w:tc>
          <w:tcPr>
            <w:tcW w:type="dxa" w:w="16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derived</w:t>
            </w:r>
          </w:p>
        </w:tc>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CLV adjusted for post-AI retention</w:t>
            </w:r>
          </w:p>
        </w:tc>
      </w:tr>
      <w:tr>
        <w:tc>
          <w:tcPr>
            <w:tcW w:type="dxa" w:w="1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ai_revenue_uplift</w:t>
            </w:r>
          </w:p>
        </w:tc>
        <w:tc>
          <w:tcPr>
            <w:tcW w:type="dxa" w:w="12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float $</w:t>
            </w:r>
          </w:p>
        </w:tc>
        <w:tc>
          <w:tcPr>
            <w:tcW w:type="dxa" w:w="16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derived</w:t>
            </w:r>
          </w:p>
        </w:tc>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Expected revenue uplift per customer</w:t>
            </w:r>
          </w:p>
        </w:tc>
      </w:tr>
      <w:tr>
        <w:tc>
          <w:tcPr>
            <w:tcW w:type="dxa" w:w="1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retention_savings</w:t>
            </w:r>
          </w:p>
        </w:tc>
        <w:tc>
          <w:tcPr>
            <w:tcW w:type="dxa" w:w="12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float $</w:t>
            </w:r>
          </w:p>
        </w:tc>
        <w:tc>
          <w:tcPr>
            <w:tcW w:type="dxa" w:w="16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derived</w:t>
            </w:r>
          </w:p>
        </w:tc>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Avoided churn cost per customer</w:t>
            </w:r>
          </w:p>
        </w:tc>
      </w:tr>
      <w:tr>
        <w:tc>
          <w:tcPr>
            <w:tcW w:type="dxa" w:w="1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ai_cost</w:t>
            </w:r>
          </w:p>
        </w:tc>
        <w:tc>
          <w:tcPr>
            <w:tcW w:type="dxa" w:w="12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float $</w:t>
            </w:r>
          </w:p>
        </w:tc>
        <w:tc>
          <w:tcPr>
            <w:tcW w:type="dxa" w:w="16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derived</w:t>
            </w:r>
          </w:p>
        </w:tc>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Allocated per-customer AI implementation cost</w:t>
            </w:r>
          </w:p>
        </w:tc>
      </w:tr>
      <w:tr>
        <w:tc>
          <w:tcPr>
            <w:tcW w:type="dxa" w:w="18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net_roi</w:t>
            </w:r>
          </w:p>
        </w:tc>
        <w:tc>
          <w:tcPr>
            <w:tcW w:type="dxa" w:w="12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float</w:t>
            </w:r>
          </w:p>
        </w:tc>
        <w:tc>
          <w:tcPr>
            <w:tcW w:type="dxa" w:w="160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target</w:t>
            </w:r>
          </w:p>
        </w:tc>
        <w:tc>
          <w:tcPr>
            <w:tcW w:type="dxa" w:w="4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Net ROI ratio — modeling target</w:t>
            </w:r>
          </w:p>
        </w:tc>
      </w:tr>
    </w:tbl>
    <w:p>
      <w:pPr>
        <w:pStyle w:val="Heading1"/>
        <w:spacing w:after="120" w:before="240"/>
      </w:pPr>
      <w:r>
        <w:t xml:space="preserve">10. Intellectual Property and License Note</w:t>
      </w:r>
    </w:p>
    <w:p>
      <w:pPr>
        <w:spacing w:after="120" w:line="300"/>
      </w:pPr>
      <w:r>
        <w:t xml:space="preserve">This project was produced as a Carnegie Mellon University Tepper School MSBA capstone engagement with Deloitte Consulting. No non-disclosure agreement was executed. All OSINT benchmarks used in the model are drawn from publicly available industry reports (Bain, McKinsey, Deloitte Global Powers of Luxury Goods, BCG × Altagamma) and are cited throughout.</w:t>
      </w:r>
    </w:p>
    <w:p>
      <w:pPr>
        <w:spacing w:after="120" w:line="300"/>
      </w:pPr>
      <w:r>
        <w:t xml:space="preserve">The Sephora dataset used for the A/B simulation is a publicly available product-and-review corpus; no proprietary data is embedded in the repository. The real luxury survey data was collected under an IRB-equivalent academic protocol; respondents were anonymous.</w:t>
      </w:r>
    </w:p>
    <w:p>
      <w:pPr>
        <w:spacing w:after="120" w:line="300"/>
      </w:pPr>
      <w:r>
        <w:t xml:space="preserve">The model code, synthetic data, AVANT dashboard code, and derived results are released under the MIT license. Raw survey responses remain with the project team and are not redistributed; aggregate results in this report and in the repository are safe to share.</w:t>
      </w:r>
    </w:p>
    <w:p>
      <w:pPr>
        <w:spacing w:after="120" w:line="300"/>
      </w:pPr>
      <w:r>
        <w:t xml:space="preserve">Any client-specific deployment derived from this scaffold should be re-scoped under the Deloitte client's own data-protection and IP framework before go-live, including review by the client's information security, legal, and data-governance teams.</w:t>
      </w:r>
    </w:p>
    <w:p>
      <w:r>
        <w:br w:type="page"/>
      </w:r>
    </w:p>
    <w:p>
      <w:pPr>
        <w:pStyle w:val="Heading1"/>
        <w:spacing w:after="120" w:before="240"/>
      </w:pPr>
      <w:r>
        <w:t xml:space="preserve">Appendix A. Model Performance</w:t>
      </w:r>
    </w:p>
    <w:p>
      <w:pPr>
        <w:spacing w:after="120" w:line="300"/>
      </w:pPr>
      <w:r>
        <w:t xml:space="preserve">Both the synthetic-trained transfer evaluation and the real-data retrained evaluation were run. Because the real survey sample is small (n = 43), the retrained-on-real metrics are indicative rather than production-grade and should be replaced by client-data metrics during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360"/>
        <w:gridCol w:w="2360"/>
        <w:gridCol w:w="2560"/>
      </w:tblGrid>
      <w:tr>
        <w:tc>
          <w:tcPr>
            <w:tcW w:type="dxa" w:w="208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Evaluation</w:t>
            </w:r>
          </w:p>
        </w:tc>
        <w:tc>
          <w:tcPr>
            <w:tcW w:type="dxa" w:w="236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Training Set</w:t>
            </w:r>
          </w:p>
        </w:tc>
        <w:tc>
          <w:tcPr>
            <w:tcW w:type="dxa" w:w="236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Test Set</w:t>
            </w:r>
          </w:p>
        </w:tc>
        <w:tc>
          <w:tcPr>
            <w:tcW w:type="dxa" w:w="256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Purpose</w:t>
            </w:r>
          </w:p>
        </w:tc>
      </w:tr>
      <w:tr>
        <w:tc>
          <w:tcPr>
            <w:tcW w:type="dxa" w:w="20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Transfer</w:t>
            </w:r>
          </w:p>
        </w:tc>
        <w:tc>
          <w:tcPr>
            <w:tcW w:type="dxa" w:w="236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Synthetic (n=253)</w:t>
            </w:r>
          </w:p>
        </w:tc>
        <w:tc>
          <w:tcPr>
            <w:tcW w:type="dxa" w:w="236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Real (~40)</w:t>
            </w:r>
          </w:p>
        </w:tc>
        <w:tc>
          <w:tcPr>
            <w:tcW w:type="dxa" w:w="256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Measure how well OSINT-scaffolded synthetic model generalises to real respondents</w:t>
            </w:r>
          </w:p>
        </w:tc>
      </w:tr>
      <w:tr>
        <w:tc>
          <w:tcPr>
            <w:tcW w:type="dxa" w:w="20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Retrained 75/25</w:t>
            </w:r>
          </w:p>
        </w:tc>
        <w:tc>
          <w:tcPr>
            <w:tcW w:type="dxa" w:w="236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Real train (~30)</w:t>
            </w:r>
          </w:p>
        </w:tc>
        <w:tc>
          <w:tcPr>
            <w:tcW w:type="dxa" w:w="236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Real test (~10)</w:t>
            </w:r>
          </w:p>
        </w:tc>
        <w:tc>
          <w:tcPr>
            <w:tcW w:type="dxa" w:w="256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Upper-bound estimate of model fit on real data alone</w:t>
            </w:r>
          </w:p>
        </w:tc>
      </w:tr>
      <w:tr>
        <w:tc>
          <w:tcPr>
            <w:tcW w:type="dxa" w:w="20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5-fold CV (real)</w:t>
            </w:r>
          </w:p>
        </w:tc>
        <w:tc>
          <w:tcPr>
            <w:tcW w:type="dxa" w:w="236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Real (~40)</w:t>
            </w:r>
          </w:p>
        </w:tc>
        <w:tc>
          <w:tcPr>
            <w:tcW w:type="dxa" w:w="236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Real (~40)</w:t>
            </w:r>
          </w:p>
        </w:tc>
        <w:tc>
          <w:tcPr>
            <w:tcW w:type="dxa" w:w="256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Variance estimate on small-sample real data</w:t>
            </w:r>
          </w:p>
        </w:tc>
      </w:tr>
    </w:tbl>
    <w:p>
      <w:pPr>
        <w:pStyle w:val="Heading1"/>
        <w:spacing w:after="120" w:before="240"/>
      </w:pPr>
      <w:r>
        <w:t xml:space="preserve">Appendix B. Five-Year Projection Methodology</w:t>
      </w:r>
    </w:p>
    <w:p>
      <w:pPr>
        <w:spacing w:after="120" w:line="300"/>
      </w:pPr>
      <w:r>
        <w:t xml:space="preserve">The 2026–2030 projection is produced by applying the trained ensemble to the survey population each year, while advancing the readiness distribution by the 25% annual AI-literacy shift parameter. Retention is updated each year based on the new readiness distribution. CLV grows at the assumed rate and costs scale linearly. The projection assumes no catastrophic brand-equity event and no regulatory shock; Appendix C documents the sensitivity analysis we recommend running before any board sign-off.</w:t>
      </w:r>
    </w:p>
    <w:p>
      <w:pPr>
        <w:pStyle w:val="Heading1"/>
        <w:spacing w:after="120" w:before="240"/>
      </w:pPr>
      <w:r>
        <w:t xml:space="preserve">Appendix C. Sensitivity Analysis</w:t>
      </w:r>
    </w:p>
    <w:p>
      <w:pPr>
        <w:spacing w:after="120" w:line="300"/>
      </w:pPr>
      <w:r>
        <w:t xml:space="preserve">The three assumptions that most move the five-year headline are: baseline retention (82%), personalization lift (20%), and AI literacy shift (25% per year). Recommended sensitivity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80"/>
        <w:gridCol w:w="2240"/>
        <w:gridCol w:w="1720"/>
        <w:gridCol w:w="1720"/>
      </w:tblGrid>
      <w:tr>
        <w:tc>
          <w:tcPr>
            <w:tcW w:type="dxa" w:w="368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Parameter</w:t>
            </w:r>
          </w:p>
        </w:tc>
        <w:tc>
          <w:tcPr>
            <w:tcW w:type="dxa" w:w="224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Base</w:t>
            </w:r>
          </w:p>
        </w:tc>
        <w:tc>
          <w:tcPr>
            <w:tcW w:type="dxa" w:w="172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Downside</w:t>
            </w:r>
          </w:p>
        </w:tc>
        <w:tc>
          <w:tcPr>
            <w:tcW w:type="dxa" w:w="1720"/>
            <w:tcBorders>
              <w:top w:val="single" w:color="CFC7BD" w:sz="4"/>
              <w:left w:val="single" w:color="CFC7BD" w:sz="4"/>
              <w:bottom w:val="single" w:color="CFC7BD" w:sz="4"/>
              <w:right w:val="single" w:color="CFC7BD" w:sz="4"/>
            </w:tcBorders>
            <w:shd w:fill="E8E3DB" w:val="clear"/>
            <w:tcMar>
              <w:top w:type="dxa" w:w="90"/>
              <w:left w:type="dxa" w:w="140"/>
              <w:bottom w:type="dxa" w:w="90"/>
              <w:right w:type="dxa" w:w="140"/>
            </w:tcMar>
          </w:tcPr>
          <w:p>
            <w:pPr>
              <w:jc w:val="left"/>
            </w:pPr>
            <w:r>
              <w:rPr>
                <w:b/>
                <w:bCs/>
              </w:rPr>
              <w:t xml:space="preserve">Upside</w:t>
            </w:r>
          </w:p>
        </w:tc>
      </w:tr>
      <w:tr>
        <w:tc>
          <w:tcPr>
            <w:tcW w:type="dxa" w:w="3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Baseline retention</w:t>
            </w:r>
          </w:p>
        </w:tc>
        <w:tc>
          <w:tcPr>
            <w:tcW w:type="dxa" w:w="22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82%</w:t>
            </w:r>
          </w:p>
        </w:tc>
        <w:tc>
          <w:tcPr>
            <w:tcW w:type="dxa" w:w="172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78%</w:t>
            </w:r>
          </w:p>
        </w:tc>
        <w:tc>
          <w:tcPr>
            <w:tcW w:type="dxa" w:w="172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86%</w:t>
            </w:r>
          </w:p>
        </w:tc>
      </w:tr>
      <w:tr>
        <w:tc>
          <w:tcPr>
            <w:tcW w:type="dxa" w:w="3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Personalization revenue lift</w:t>
            </w:r>
          </w:p>
        </w:tc>
        <w:tc>
          <w:tcPr>
            <w:tcW w:type="dxa" w:w="22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20%</w:t>
            </w:r>
          </w:p>
        </w:tc>
        <w:tc>
          <w:tcPr>
            <w:tcW w:type="dxa" w:w="172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10%</w:t>
            </w:r>
          </w:p>
        </w:tc>
        <w:tc>
          <w:tcPr>
            <w:tcW w:type="dxa" w:w="172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25%</w:t>
            </w:r>
          </w:p>
        </w:tc>
      </w:tr>
      <w:tr>
        <w:tc>
          <w:tcPr>
            <w:tcW w:type="dxa" w:w="3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Annual AI literacy shift</w:t>
            </w:r>
          </w:p>
        </w:tc>
        <w:tc>
          <w:tcPr>
            <w:tcW w:type="dxa" w:w="22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25%</w:t>
            </w:r>
          </w:p>
        </w:tc>
        <w:tc>
          <w:tcPr>
            <w:tcW w:type="dxa" w:w="172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15%</w:t>
            </w:r>
          </w:p>
        </w:tc>
        <w:tc>
          <w:tcPr>
            <w:tcW w:type="dxa" w:w="172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35%</w:t>
            </w:r>
          </w:p>
        </w:tc>
      </w:tr>
      <w:tr>
        <w:tc>
          <w:tcPr>
            <w:tcW w:type="dxa" w:w="368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AI implementation cost ratio</w:t>
            </w:r>
          </w:p>
        </w:tc>
        <w:tc>
          <w:tcPr>
            <w:tcW w:type="dxa" w:w="224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3.0%</w:t>
            </w:r>
          </w:p>
        </w:tc>
        <w:tc>
          <w:tcPr>
            <w:tcW w:type="dxa" w:w="172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5.0%</w:t>
            </w:r>
          </w:p>
        </w:tc>
        <w:tc>
          <w:tcPr>
            <w:tcW w:type="dxa" w:w="1720"/>
            <w:tcBorders>
              <w:top w:val="single" w:color="CFC7BD" w:sz="4"/>
              <w:left w:val="single" w:color="CFC7BD" w:sz="4"/>
              <w:bottom w:val="single" w:color="CFC7BD" w:sz="4"/>
              <w:right w:val="single" w:color="CFC7BD" w:sz="4"/>
            </w:tcBorders>
            <w:tcMar>
              <w:top w:type="dxa" w:w="90"/>
              <w:left w:type="dxa" w:w="140"/>
              <w:bottom w:type="dxa" w:w="90"/>
              <w:right w:type="dxa" w:w="140"/>
            </w:tcMar>
          </w:tcPr>
          <w:p>
            <w:pPr>
              <w:jc w:val="left"/>
            </w:pPr>
            <w:r>
              <w:rPr>
                <w:b w:val="false"/>
                <w:bCs w:val="false"/>
              </w:rPr>
              <w:t xml:space="preserve">2.0%</w:t>
            </w:r>
          </w:p>
        </w:tc>
      </w:tr>
    </w:tbl>
    <w:p>
      <w:pPr>
        <w:pStyle w:val="Heading1"/>
        <w:spacing w:after="120" w:before="240"/>
      </w:pPr>
      <w:r>
        <w:t xml:space="preserve">Appendix D. Reproducibility</w:t>
      </w:r>
    </w:p>
    <w:p>
      <w:pPr>
        <w:spacing w:after="120" w:line="300"/>
      </w:pPr>
      <w:r>
        <w:t xml:space="preserve">All numeric results in this report can be reproduced by running two Python scripts in the accompanying repository:</w:t>
      </w:r>
    </w:p>
    <w:p>
      <w:pPr>
        <w:pStyle w:val="ListParagraph"/>
        <w:numPr>
          <w:ilvl w:val="0"/>
          <w:numId w:val="2"/>
        </w:numPr>
        <w:spacing w:after="80"/>
      </w:pPr>
      <w:r>
        <w:t xml:space="preserve">python src/agentic_ai_roi_model.py — trains the model on the synthetic set, generates agentic_ai_roi_analysis.png, writes roi_model_results.csv.</w:t>
      </w:r>
    </w:p>
    <w:p>
      <w:pPr>
        <w:pStyle w:val="ListParagraph"/>
        <w:numPr>
          <w:ilvl w:val="0"/>
          <w:numId w:val="2"/>
        </w:numPr>
        <w:spacing w:after="80"/>
      </w:pPr>
      <w:r>
        <w:t xml:space="preserve">python src/run_model_on_real_data.py — applies the trained model to the real survey and produces real_data_roi_analysis.png.</w:t>
      </w:r>
    </w:p>
    <w:p>
      <w:pPr>
        <w:spacing w:after="120" w:line="300"/>
      </w:pPr>
      <w:r>
        <w:t xml:space="preserve">Random seeds are fixed at 42. Dependencies are pinned in requirements.txt. Environment: Python 3.10+, pandas, numpy, scikit-learn, xgboost, matplotlib, seaborn, openpyxl. AVANT dashboard code and setup instructions are under the dashboard/ directory of the repository.</w:t>
      </w:r>
    </w:p>
    <w:p>
      <w:pPr>
        <w:pStyle w:val="Heading1"/>
        <w:spacing w:after="120" w:before="240"/>
      </w:pPr>
      <w:r>
        <w:t xml:space="preserve">Appendix E. Survey Instrument</w:t>
      </w:r>
    </w:p>
    <w:p>
      <w:pPr>
        <w:spacing w:after="120" w:line="300"/>
      </w:pPr>
      <w:r>
        <w:t xml:space="preserve">The Qualtrics survey contains 23 questions spanning demographics (Q1–Q3), luxury brand affinity (Q4–Q7), authentication behaviour (Q8–Q12), AI engagement (Q13–Q22), and desired AI role (Q23). See docs/survey_instrument.md in the repository for the full question text.</w:t>
      </w:r>
    </w:p>
    <w:p>
      <w:pPr>
        <w:pStyle w:val="Heading1"/>
        <w:spacing w:after="120" w:before="240"/>
      </w:pPr>
      <w:r>
        <w:t xml:space="preserve">Appendix F. Case Study Synopses</w:t>
      </w:r>
    </w:p>
    <w:p>
      <w:pPr>
        <w:pStyle w:val="Heading2"/>
        <w:spacing w:after="120" w:before="240"/>
      </w:pPr>
      <w:r>
        <w:t xml:space="preserve">LVMH — Centralized Data + AI Sales</w:t>
      </w:r>
    </w:p>
    <w:p>
      <w:pPr>
        <w:spacing w:after="120" w:line="300"/>
      </w:pPr>
      <w:r>
        <w:t xml:space="preserve">LVMH built a centralized customer data platform linking the group's maisons, and layers AI-driven clienteling on top of it. The agentic use case is associate briefing: when a VIC is about to visit a boutique, the associate receives an AI-curated summary of the client's cross-maison purchase history, stated preferences, and next-best-offer. The customer sees a more attentive associate, not an AI.</w:t>
      </w:r>
    </w:p>
    <w:p>
      <w:pPr>
        <w:pStyle w:val="Heading2"/>
        <w:spacing w:after="120" w:before="240"/>
      </w:pPr>
      <w:r>
        <w:t xml:space="preserve">Gucci — AI-Driven Digital</w:t>
      </w:r>
    </w:p>
    <w:p>
      <w:pPr>
        <w:spacing w:after="120" w:line="300"/>
      </w:pPr>
      <w:r>
        <w:t xml:space="preserve">Gucci's agentic investments have concentrated on the digital store — product discovery, outfit recommendations, and virtual try-on. The interesting lesson is tonal: Gucci's AI surfaces as an editorial assistant rather than a transactional chatbot, which is what distinguishes it from mass-retail analogs.</w:t>
      </w:r>
    </w:p>
    <w:p>
      <w:pPr>
        <w:pStyle w:val="Heading2"/>
        <w:spacing w:after="120" w:before="240"/>
      </w:pPr>
      <w:r>
        <w:t xml:space="preserve">Burberry — AI-Based Authentication</w:t>
      </w:r>
    </w:p>
    <w:p>
      <w:pPr>
        <w:spacing w:after="120" w:line="300"/>
      </w:pPr>
      <w:r>
        <w:t xml:space="preserve">Burberry pioneered AI-driven authentication of resale and second-hand items, protecting brand integrity in the growing resale market. This is a pure invisible-AI use case: the customer experiences confidence in their purchase, not an AI interaction.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4A4A"/>
        <w:sz w:val="18"/>
        <w:szCs w:val="18"/>
      </w:rPr>
      <w:t xml:space="preserve">Page </w:t>
    </w:r>
    <w:r>
      <w:rPr>
        <w:color w:val="4A4A4A"/>
        <w:sz w:val="18"/>
        <w:szCs w:val="18"/>
      </w:rPr>
      <w:fldChar w:fldCharType="begin"/>
      <w:instrText xml:space="preserve">PAGE</w:instrText>
      <w:fldChar w:fldCharType="separate"/>
      <w:fldChar w:fldCharType="end"/>
    </w:r>
    <w:r>
      <w:rPr>
        <w:color w:val="4A4A4A"/>
        <w:sz w:val="18"/>
        <w:szCs w:val="18"/>
      </w:rPr>
      <w:t xml:space="preserve"> of </w:t>
    </w:r>
    <w:r>
      <w:rPr>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4A4A4A"/>
        <w:sz w:val="18"/>
        <w:szCs w:val="18"/>
      </w:rPr>
      <w:t xml:space="preserve">Agentic AI in Luxury — CMU Tepper × Deloitte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eorgia" w:cs="Georgia" w:eastAsia="Georgia" w:hAnsi="Georgia"/>
      <w:b/>
      <w:bCs/>
      <w:color w:val="0B1F3A"/>
      <w:sz w:val="34"/>
      <w:szCs w:val="34"/>
    </w:rPr>
  </w:style>
  <w:style w:type="paragraph" w:styleId="Heading2">
    <w:name w:val="Heading 2"/>
    <w:basedOn w:val="Normal"/>
    <w:next w:val="Normal"/>
    <w:qFormat/>
    <w:pPr>
      <w:spacing w:after="120" w:before="240"/>
      <w:outlineLvl w:val="1"/>
    </w:pPr>
    <w:rPr>
      <w:rFonts w:ascii="Georgia" w:cs="Georgia" w:eastAsia="Georgia" w:hAnsi="Georgia"/>
      <w:b/>
      <w:bCs/>
      <w:color w:val="8B6F47"/>
      <w:sz w:val="26"/>
      <w:szCs w:val="26"/>
    </w:rPr>
  </w:style>
  <w:style w:type="paragraph" w:styleId="Heading3">
    <w:name w:val="Heading 3"/>
    <w:basedOn w:val="Normal"/>
    <w:next w:val="Normal"/>
    <w:qFormat/>
    <w:pPr>
      <w:spacing w:after="100" w:before="180"/>
      <w:outlineLvl w:val="2"/>
    </w:pPr>
    <w:rPr>
      <w:rFonts w:ascii="Georgia" w:cs="Georgia" w:eastAsia="Georgia" w:hAnsi="Georgia"/>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in Luxury — Final Report</dc:title>
  <dc:creator>CMU Tepper MSBA Capstone Team × Deloitte</dc:creator>
  <cp:lastModifiedBy>Un-named</cp:lastModifiedBy>
  <cp:revision>1</cp:revision>
  <dcterms:created xsi:type="dcterms:W3CDTF">2026-04-24T21:45:30.689Z</dcterms:created>
  <dcterms:modified xsi:type="dcterms:W3CDTF">2026-04-24T21:45:30.689Z</dcterms:modified>
</cp:coreProperties>
</file>

<file path=docProps/custom.xml><?xml version="1.0" encoding="utf-8"?>
<Properties xmlns="http://schemas.openxmlformats.org/officeDocument/2006/custom-properties" xmlns:vt="http://schemas.openxmlformats.org/officeDocument/2006/docPropsVTypes"/>
</file>