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body{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font-family: verdana;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#myVideo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position: fixed;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right: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bottom: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min-width: 100%;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min-height: 100%;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input{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min-height: 50px;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min-width: 70px;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background:rgba(255,255,255,0.5);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text-decoration: none;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border:0;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border-radius: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font-size: 12pt;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table{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tr{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height: 70px;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pink;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border :solid 2pt;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border-color: white;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td{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.name1:hover{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height: 300px;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url(1.png);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.name2:hover{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height: 300px;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url(2.png);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.name3:hover{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height: 200px;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url(3.png);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.name4:hover{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height: 200px;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width: 250px;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background-color: rgba(255,255,255,0.8);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cover;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background-image: url(4.jpg);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&lt;form&gt;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&lt;table align="center" width="75%"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&lt;th&gt;Item&lt;/th&gt;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&lt;th&gt;Price(1 item)&lt;/th&gt;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&lt;th&gt;Quantity&lt;/th&gt;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&lt;th&gt;Export&lt;/th&gt;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class="name1" &gt;Clothing,accesories&lt;/td&gt;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&lt;td&gt;$8.6 billion&lt;/td&gt;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href="address.html"&gt;Export&lt;/a&gt;&lt;/button&gt;&lt;/td&gt;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class="name2"&gt;Gems,precious material &lt;/td&gt;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&lt;td&gt;$36.7 billion&lt;/td&gt;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href="address.html"&gt;Export&lt;/a&gt;&lt;/button&gt;&lt;/td&gt;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class="name3"&gt;Organic chemical &lt;/td&gt;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&lt;td&gt;$18.6 billion&lt;/td&gt;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href="address.html"&gt;Export&lt;/a&gt;&lt;/button&gt;&lt;/td&gt;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class="name4"&gt;Vehicles 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&lt;td&gt;$17.2 billion&lt;/td&gt;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&lt;td&gt;&lt;input type="number" name=""&gt;&lt;/td&gt;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&lt;td&gt;&lt;button&gt;&lt;a style="text-decoration: none;" href="address.html"&gt;Export&lt;/a&gt;&lt;/button&gt;&lt;/td&gt;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