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EA87" w14:textId="77777777" w:rsidR="00EA219E" w:rsidRPr="00EA219E" w:rsidRDefault="00EA219E" w:rsidP="00EA219E">
      <w:pPr>
        <w:spacing w:before="2200"/>
      </w:pPr>
    </w:p>
    <w:p w14:paraId="11D1F504" w14:textId="77777777" w:rsidR="00EA219E" w:rsidRPr="00EA219E" w:rsidRDefault="00EA219E" w:rsidP="00EA219E">
      <w:pPr>
        <w:spacing w:after="200"/>
        <w:jc w:val="center"/>
      </w:pPr>
      <w:r w:rsidRPr="00EA219E">
        <w:rPr>
          <w:b/>
          <w:bCs/>
          <w:sz w:val="56"/>
          <w:szCs w:val="56"/>
        </w:rPr>
        <w:t>Tesla Stock Price Prediction</w:t>
      </w:r>
    </w:p>
    <w:p w14:paraId="3EB1683B" w14:textId="77777777" w:rsidR="00EA219E" w:rsidRPr="00EA219E" w:rsidRDefault="00EA219E" w:rsidP="00EA219E">
      <w:pPr>
        <w:spacing w:after="600"/>
        <w:jc w:val="center"/>
        <w:rPr>
          <w:b/>
          <w:bCs/>
        </w:rPr>
      </w:pPr>
      <w:r w:rsidRPr="00EA219E">
        <w:rPr>
          <w:b/>
          <w:bCs/>
          <w:sz w:val="32"/>
          <w:szCs w:val="32"/>
        </w:rPr>
        <w:t>using SimpleRNN and LSTM Deep Learning Models</w:t>
      </w:r>
    </w:p>
    <w:p w14:paraId="36F867BE" w14:textId="77777777" w:rsidR="00EA219E" w:rsidRPr="00EA219E" w:rsidRDefault="00EA219E" w:rsidP="00EA219E">
      <w:pPr>
        <w:spacing w:after="120"/>
        <w:jc w:val="center"/>
        <w:rPr>
          <w:b/>
          <w:bCs/>
        </w:rPr>
      </w:pPr>
      <w:r w:rsidRPr="00EA219E">
        <w:rPr>
          <w:b/>
          <w:bCs/>
          <w:sz w:val="24"/>
          <w:szCs w:val="24"/>
        </w:rPr>
        <w:t>Domain: Financial Services</w:t>
      </w:r>
    </w:p>
    <w:p w14:paraId="44F83D20" w14:textId="2040BCCB" w:rsidR="00EA219E" w:rsidRDefault="00593856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A</w:t>
      </w:r>
      <w:r>
        <w:rPr>
          <w:rFonts w:ascii="Times New Roman" w:hAnsi="Times New Roman" w:cs="Times New Roman"/>
          <w:b/>
          <w:bCs/>
          <w:color w:val="auto"/>
        </w:rPr>
        <w:t>bstract</w:t>
      </w:r>
    </w:p>
    <w:p w14:paraId="7FD0C78F" w14:textId="0D50EFC9" w:rsidR="00EA219E" w:rsidRPr="00EA219E" w:rsidRDefault="00EA219E" w:rsidP="00EA219E">
      <w:pPr>
        <w:rPr>
          <w:sz w:val="24"/>
          <w:szCs w:val="24"/>
        </w:rPr>
      </w:pPr>
      <w:r w:rsidRPr="00EA219E">
        <w:rPr>
          <w:sz w:val="24"/>
          <w:szCs w:val="24"/>
        </w:rPr>
        <w:t xml:space="preserve">Stock price prediction is an important application of Deep Learning in financial time-series analysis. This project predicts Tesla Inc. (TSLA) stock closing prices using </w:t>
      </w:r>
      <w:r w:rsidRPr="00EA219E">
        <w:rPr>
          <w:b/>
          <w:bCs/>
          <w:sz w:val="24"/>
          <w:szCs w:val="24"/>
        </w:rPr>
        <w:t>SimpleRNN</w:t>
      </w:r>
      <w:r w:rsidRPr="00EA219E">
        <w:rPr>
          <w:sz w:val="24"/>
          <w:szCs w:val="24"/>
        </w:rPr>
        <w:t xml:space="preserve"> and </w:t>
      </w:r>
      <w:r w:rsidRPr="00EA219E">
        <w:rPr>
          <w:b/>
          <w:bCs/>
          <w:sz w:val="24"/>
          <w:szCs w:val="24"/>
        </w:rPr>
        <w:t>Long Short-Term Memory (LSTM)</w:t>
      </w:r>
      <w:r w:rsidRPr="00EA219E">
        <w:rPr>
          <w:sz w:val="24"/>
          <w:szCs w:val="24"/>
        </w:rPr>
        <w:t xml:space="preserve"> models. Historical stock price data from 2010 to 2020 was </w:t>
      </w:r>
      <w:proofErr w:type="spellStart"/>
      <w:r w:rsidRPr="00EA219E">
        <w:rPr>
          <w:sz w:val="24"/>
          <w:szCs w:val="24"/>
        </w:rPr>
        <w:t>preprocessed</w:t>
      </w:r>
      <w:proofErr w:type="spellEnd"/>
      <w:r w:rsidRPr="00EA219E">
        <w:rPr>
          <w:sz w:val="24"/>
          <w:szCs w:val="24"/>
        </w:rPr>
        <w:t xml:space="preserve"> through data cleaning, normalization, and time-series sequence generation. Both models were trained to predict </w:t>
      </w:r>
      <w:r w:rsidRPr="00EA219E">
        <w:rPr>
          <w:b/>
          <w:bCs/>
          <w:sz w:val="24"/>
          <w:szCs w:val="24"/>
        </w:rPr>
        <w:t>1-day, 5-day, and 10-day</w:t>
      </w:r>
      <w:r w:rsidRPr="00EA219E">
        <w:rPr>
          <w:sz w:val="24"/>
          <w:szCs w:val="24"/>
        </w:rPr>
        <w:t xml:space="preserve"> future stock prices and evaluated using </w:t>
      </w:r>
      <w:r w:rsidRPr="00EA219E">
        <w:rPr>
          <w:b/>
          <w:bCs/>
          <w:sz w:val="24"/>
          <w:szCs w:val="24"/>
        </w:rPr>
        <w:t>MSE, RMSE, and MAE</w:t>
      </w:r>
      <w:r w:rsidRPr="00EA219E">
        <w:rPr>
          <w:sz w:val="24"/>
          <w:szCs w:val="24"/>
        </w:rPr>
        <w:t xml:space="preserve">. Hyperparameter tuning was performed using </w:t>
      </w:r>
      <w:r w:rsidRPr="00EA219E">
        <w:rPr>
          <w:b/>
          <w:bCs/>
          <w:sz w:val="24"/>
          <w:szCs w:val="24"/>
        </w:rPr>
        <w:t>GridSearchCV</w:t>
      </w:r>
      <w:r w:rsidRPr="00EA219E">
        <w:rPr>
          <w:sz w:val="24"/>
          <w:szCs w:val="24"/>
        </w:rPr>
        <w:t xml:space="preserve"> to improve the LSTM model. The results showed that both models effectively learned historical stock price patterns, with </w:t>
      </w:r>
      <w:r w:rsidRPr="00EA219E">
        <w:rPr>
          <w:b/>
          <w:bCs/>
          <w:sz w:val="24"/>
          <w:szCs w:val="24"/>
        </w:rPr>
        <w:t>SimpleRNN performing better for short-term forecasting and LSTM showing improved performance for longer prediction horizons after tuning</w:t>
      </w:r>
      <w:r w:rsidRPr="00EA219E">
        <w:rPr>
          <w:sz w:val="24"/>
          <w:szCs w:val="24"/>
        </w:rPr>
        <w:t>. This project demonstrates the effectiveness of Deep Learning techniques for stock price prediction and their potential applications in investment analysis and financial forecasting.</w:t>
      </w:r>
    </w:p>
    <w:p w14:paraId="46B87E72" w14:textId="024DDAD5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1. Problem Statement &amp; Objectives</w:t>
      </w:r>
    </w:p>
    <w:p w14:paraId="2ED7C477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Tesla, Inc. (TSLA) stock exhibits a long, relatively flat trading range from 2010 through most of 2019, followed by a sharp rise beginning late 2019 into early 2020. This project develops and compares two deep learning architectures — SimpleRNN and LSTM — to predict Tesla's closing stock price 1 day, 5 days, and 10 days ahead, using only the stock's own historical price sequence as input.</w:t>
      </w:r>
    </w:p>
    <w:p w14:paraId="2698D609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Objectives</w:t>
      </w:r>
    </w:p>
    <w:p w14:paraId="5057D1B7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Analyze and clean Tesla historical stock price data (2010–2020).</w:t>
      </w:r>
    </w:p>
    <w:p w14:paraId="54152708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Perform exploratory data analysis (EDA) to understand trend, volatility, and correlations.</w:t>
      </w:r>
    </w:p>
    <w:p w14:paraId="4A8737AC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Build and train SimpleRNN and LSTM models for time-series forecasting.</w:t>
      </w:r>
    </w:p>
    <w:p w14:paraId="406F8C30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Predict closing prices 1, 5, and 10 trading days ahead.</w:t>
      </w:r>
    </w:p>
    <w:p w14:paraId="1261EAF3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Tune hyperparameters using GridSearchCV (units, dropout, learning rate).</w:t>
      </w:r>
    </w:p>
    <w:p w14:paraId="517F3A21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Compare model performance using MSE, RMSE, and MAE.</w:t>
      </w:r>
    </w:p>
    <w:p w14:paraId="18E5D344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lastRenderedPageBreak/>
        <w:t>2. Dataset Description</w:t>
      </w:r>
    </w:p>
    <w:p w14:paraId="43E691EC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 xml:space="preserve">The dataset (TSLA.csv) contains 2,416 daily records of Tesla stock spanning 29 June 2010 to 3 February 2020, with columns: Date, Open, High, Low, Close, </w:t>
      </w:r>
      <w:proofErr w:type="spellStart"/>
      <w:r w:rsidRPr="00EA219E">
        <w:rPr>
          <w:sz w:val="24"/>
          <w:szCs w:val="24"/>
        </w:rPr>
        <w:t>Adj</w:t>
      </w:r>
      <w:proofErr w:type="spellEnd"/>
      <w:r w:rsidRPr="00EA219E">
        <w:rPr>
          <w:sz w:val="24"/>
          <w:szCs w:val="24"/>
        </w:rPr>
        <w:t xml:space="preserve"> Close, and Volume.</w:t>
      </w:r>
    </w:p>
    <w:tbl>
      <w:tblPr>
        <w:tblStyle w:val="GridTable6Colorful"/>
        <w:tblW w:w="8680" w:type="dxa"/>
        <w:tblLook w:val="0000" w:firstRow="0" w:lastRow="0" w:firstColumn="0" w:lastColumn="0" w:noHBand="0" w:noVBand="0"/>
      </w:tblPr>
      <w:tblGrid>
        <w:gridCol w:w="4000"/>
        <w:gridCol w:w="4680"/>
      </w:tblGrid>
      <w:tr w:rsidR="00EA219E" w:rsidRPr="00EA219E" w14:paraId="4E2815D2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7F78E9BD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Attribute</w:t>
            </w:r>
          </w:p>
        </w:tc>
        <w:tc>
          <w:tcPr>
            <w:tcW w:w="4680" w:type="dxa"/>
          </w:tcPr>
          <w:p w14:paraId="5CAC0426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Value</w:t>
            </w:r>
          </w:p>
        </w:tc>
      </w:tr>
      <w:tr w:rsidR="00EA219E" w:rsidRPr="00EA219E" w14:paraId="5DE9DDEA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72DA085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Total records</w:t>
            </w:r>
          </w:p>
        </w:tc>
        <w:tc>
          <w:tcPr>
            <w:tcW w:w="4680" w:type="dxa"/>
          </w:tcPr>
          <w:p w14:paraId="317E8610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2,416</w:t>
            </w:r>
          </w:p>
        </w:tc>
      </w:tr>
      <w:tr w:rsidR="00EA219E" w:rsidRPr="00EA219E" w14:paraId="6D748D5A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6FF34C7F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Date range</w:t>
            </w:r>
          </w:p>
        </w:tc>
        <w:tc>
          <w:tcPr>
            <w:tcW w:w="4680" w:type="dxa"/>
          </w:tcPr>
          <w:p w14:paraId="63CA92F4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2010-06-29 to 2020-02-03</w:t>
            </w:r>
          </w:p>
        </w:tc>
      </w:tr>
      <w:tr w:rsidR="00EA219E" w:rsidRPr="00EA219E" w14:paraId="00D25D11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2B5FB96C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Missing values</w:t>
            </w:r>
          </w:p>
        </w:tc>
        <w:tc>
          <w:tcPr>
            <w:tcW w:w="4680" w:type="dxa"/>
          </w:tcPr>
          <w:p w14:paraId="1259244D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 (clean dataset)</w:t>
            </w:r>
          </w:p>
        </w:tc>
      </w:tr>
      <w:tr w:rsidR="00EA219E" w:rsidRPr="00EA219E" w14:paraId="2EE845C7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21490668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Duplicate records</w:t>
            </w:r>
          </w:p>
        </w:tc>
        <w:tc>
          <w:tcPr>
            <w:tcW w:w="4680" w:type="dxa"/>
          </w:tcPr>
          <w:p w14:paraId="09878439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</w:t>
            </w:r>
          </w:p>
        </w:tc>
      </w:tr>
      <w:tr w:rsidR="00EA219E" w:rsidRPr="00EA219E" w14:paraId="571BDB8A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1FC9B4EE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Target variable</w:t>
            </w:r>
          </w:p>
        </w:tc>
        <w:tc>
          <w:tcPr>
            <w:tcW w:w="4680" w:type="dxa"/>
          </w:tcPr>
          <w:p w14:paraId="182ED130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EA219E">
              <w:rPr>
                <w:color w:val="auto"/>
              </w:rPr>
              <w:t>Adj</w:t>
            </w:r>
            <w:proofErr w:type="spellEnd"/>
            <w:r w:rsidRPr="00EA219E">
              <w:rPr>
                <w:color w:val="auto"/>
              </w:rPr>
              <w:t xml:space="preserve"> Close</w:t>
            </w:r>
          </w:p>
        </w:tc>
      </w:tr>
      <w:tr w:rsidR="00EA219E" w:rsidRPr="00EA219E" w14:paraId="2964D72A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62C22F0F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Price range</w:t>
            </w:r>
          </w:p>
        </w:tc>
        <w:tc>
          <w:tcPr>
            <w:tcW w:w="4680" w:type="dxa"/>
          </w:tcPr>
          <w:p w14:paraId="4E944696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$15.80 – $780.00</w:t>
            </w:r>
          </w:p>
        </w:tc>
      </w:tr>
    </w:tbl>
    <w:p w14:paraId="1C9F249A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3. Data Cleaning</w:t>
      </w:r>
    </w:p>
    <w:p w14:paraId="204BE038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The raw dataset had no missing values or duplicates. Since real-world market feeds commonly have gaps (holidays, feed errors), a defensible time-series-safe missing-value strategy was demonstrated on a simulated copy of the data:</w:t>
      </w:r>
    </w:p>
    <w:p w14:paraId="19E587A2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Forward-fill (</w:t>
      </w:r>
      <w:proofErr w:type="spellStart"/>
      <w:r w:rsidRPr="00EA219E">
        <w:rPr>
          <w:sz w:val="24"/>
          <w:szCs w:val="24"/>
        </w:rPr>
        <w:t>ffill</w:t>
      </w:r>
      <w:proofErr w:type="spellEnd"/>
      <w:r w:rsidRPr="00EA219E">
        <w:rPr>
          <w:sz w:val="24"/>
          <w:szCs w:val="24"/>
        </w:rPr>
        <w:t>): carries the last known price forward — defensible since price cannot "jump" on its own during a feed gap.</w:t>
      </w:r>
    </w:p>
    <w:p w14:paraId="159109AD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Linear interpolation: fills any residual gaps by interpolating between known points.</w:t>
      </w:r>
    </w:p>
    <w:p w14:paraId="782CF1AF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i/>
          <w:iCs/>
          <w:sz w:val="24"/>
          <w:szCs w:val="24"/>
        </w:rPr>
        <w:t>A global mean/median fill was deliberately avoided, since it ignores chronological order and trend, and can leak information from the future into the past — a common but incorrect approach for time-series data.</w:t>
      </w:r>
    </w:p>
    <w:p w14:paraId="6F40BD7C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The Date column was converted to datetime format, the data was sorted chronologically, and Date was set as the DataFrame index.</w:t>
      </w:r>
    </w:p>
    <w:p w14:paraId="21B22214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4. Exploratory Data Analysis (EDA)</w:t>
      </w:r>
    </w:p>
    <w:p w14:paraId="49D21F9F" w14:textId="77777777" w:rsidR="00EA219E" w:rsidRPr="00EA219E" w:rsidRDefault="00EA219E" w:rsidP="00EA219E">
      <w:pPr>
        <w:spacing w:after="160"/>
      </w:pPr>
      <w:r w:rsidRPr="00EA219E">
        <w:t>Several visualizations were produced to understand Tesla's price behaviour, volatility, and feature relationships.</w:t>
      </w:r>
    </w:p>
    <w:p w14:paraId="1D14061C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drawing>
          <wp:inline distT="0" distB="0" distL="0" distR="0" wp14:anchorId="24681460" wp14:editId="47E27E9E">
            <wp:extent cx="6400800" cy="2409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1081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1: Tesla closing price over time (2010–2020)</w:t>
      </w:r>
    </w:p>
    <w:p w14:paraId="08F4DE69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lastRenderedPageBreak/>
        <w:drawing>
          <wp:inline distT="0" distB="0" distL="0" distR="0" wp14:anchorId="572041C6" wp14:editId="0B88229F">
            <wp:extent cx="6400800" cy="2441162"/>
            <wp:effectExtent l="0" t="0" r="0" b="0"/>
            <wp:docPr id="2031872238" name="Picture 203187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28CE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2: Tesla trading volume over time</w:t>
      </w:r>
    </w:p>
    <w:p w14:paraId="21FB2554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drawing>
          <wp:inline distT="0" distB="0" distL="0" distR="0" wp14:anchorId="00A4F180" wp14:editId="52D176C4">
            <wp:extent cx="6400800" cy="2756047"/>
            <wp:effectExtent l="0" t="0" r="0" b="0"/>
            <wp:docPr id="600161447" name="Picture 60016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5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DB9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3: Closing price with 7/30/100-day moving averages</w:t>
      </w:r>
    </w:p>
    <w:p w14:paraId="6A88139D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drawing>
          <wp:inline distT="0" distB="0" distL="0" distR="0" wp14:anchorId="48C6310B" wp14:editId="76545141">
            <wp:extent cx="6400800" cy="1939797"/>
            <wp:effectExtent l="0" t="0" r="0" b="0"/>
            <wp:docPr id="29671628" name="Picture 29671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4CF9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4: Daily returns (%) showing volatility clusters</w:t>
      </w:r>
    </w:p>
    <w:p w14:paraId="2646A541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lastRenderedPageBreak/>
        <w:drawing>
          <wp:inline distT="0" distB="0" distL="0" distR="0" wp14:anchorId="1BBE17C9" wp14:editId="66A34685">
            <wp:extent cx="3048000" cy="2590551"/>
            <wp:effectExtent l="0" t="0" r="0" b="0"/>
            <wp:docPr id="1470189989" name="Picture 1470189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7C50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5: Correlation heatmap of price and volume features</w:t>
      </w:r>
    </w:p>
    <w:p w14:paraId="1B33FC44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Key EDA Observations</w:t>
      </w:r>
    </w:p>
    <w:p w14:paraId="34618DDA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Price shows a long flat period (2010–2019) followed by a sharp rise in early 2020.</w:t>
      </w:r>
    </w:p>
    <w:p w14:paraId="1D8BB32C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Volume spikes coincide with large price moves — consistent with high-volatility events.</w:t>
      </w:r>
    </w:p>
    <w:p w14:paraId="136563B2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 xml:space="preserve">Open, High, Low, Close, and </w:t>
      </w:r>
      <w:proofErr w:type="spellStart"/>
      <w:r w:rsidRPr="00EA219E">
        <w:rPr>
          <w:sz w:val="24"/>
          <w:szCs w:val="24"/>
        </w:rPr>
        <w:t>Adj</w:t>
      </w:r>
      <w:proofErr w:type="spellEnd"/>
      <w:r w:rsidRPr="00EA219E">
        <w:rPr>
          <w:sz w:val="24"/>
          <w:szCs w:val="24"/>
        </w:rPr>
        <w:t xml:space="preserve"> Close are almost perfectly correlated with each other; Volume correlates much more weakly with price.</w:t>
      </w:r>
    </w:p>
    <w:p w14:paraId="33AE6CCC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 xml:space="preserve">Daily returns are </w:t>
      </w:r>
      <w:proofErr w:type="spellStart"/>
      <w:r w:rsidRPr="00EA219E">
        <w:rPr>
          <w:sz w:val="24"/>
          <w:szCs w:val="24"/>
        </w:rPr>
        <w:t>centered</w:t>
      </w:r>
      <w:proofErr w:type="spellEnd"/>
      <w:r w:rsidRPr="00EA219E">
        <w:rPr>
          <w:sz w:val="24"/>
          <w:szCs w:val="24"/>
        </w:rPr>
        <w:t xml:space="preserve"> near zero but with fat tails, indicating occasional large single-day moves.</w:t>
      </w:r>
    </w:p>
    <w:p w14:paraId="45908C60" w14:textId="77777777" w:rsidR="00EA219E" w:rsidRPr="00EA219E" w:rsidRDefault="00EA219E" w:rsidP="00EA219E">
      <w:pPr>
        <w:rPr>
          <w:sz w:val="24"/>
          <w:szCs w:val="24"/>
        </w:rPr>
      </w:pPr>
      <w:r w:rsidRPr="00EA219E">
        <w:rPr>
          <w:sz w:val="24"/>
          <w:szCs w:val="24"/>
        </w:rPr>
        <w:br w:type="page"/>
      </w:r>
    </w:p>
    <w:p w14:paraId="5566168A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lastRenderedPageBreak/>
        <w:t>5. Feature Engineering &amp; Target Selection</w:t>
      </w:r>
    </w:p>
    <w:p w14:paraId="487B99E7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 xml:space="preserve">The model target is </w:t>
      </w:r>
      <w:proofErr w:type="spellStart"/>
      <w:r w:rsidRPr="00EA219E">
        <w:rPr>
          <w:sz w:val="24"/>
          <w:szCs w:val="24"/>
        </w:rPr>
        <w:t>Adj</w:t>
      </w:r>
      <w:proofErr w:type="spellEnd"/>
      <w:r w:rsidRPr="00EA219E">
        <w:rPr>
          <w:sz w:val="24"/>
          <w:szCs w:val="24"/>
        </w:rPr>
        <w:t xml:space="preserve"> Close, which accounts for stock splits and dividends and is the more correct field for long-horizon financial modelling (Tesla underwent a stock split within this window). MA7, MA30, MA100 (moving averages) and </w:t>
      </w:r>
      <w:proofErr w:type="spellStart"/>
      <w:r w:rsidRPr="00EA219E">
        <w:rPr>
          <w:sz w:val="24"/>
          <w:szCs w:val="24"/>
        </w:rPr>
        <w:t>Daily_Return</w:t>
      </w:r>
      <w:proofErr w:type="spellEnd"/>
      <w:r w:rsidRPr="00EA219E">
        <w:rPr>
          <w:sz w:val="24"/>
          <w:szCs w:val="24"/>
        </w:rPr>
        <w:t xml:space="preserve"> were engineered for EDA and analytical insight; the sequence models themselves are trained on </w:t>
      </w:r>
      <w:proofErr w:type="spellStart"/>
      <w:r w:rsidRPr="00EA219E">
        <w:rPr>
          <w:sz w:val="24"/>
          <w:szCs w:val="24"/>
        </w:rPr>
        <w:t>Adj</w:t>
      </w:r>
      <w:proofErr w:type="spellEnd"/>
      <w:r w:rsidRPr="00EA219E">
        <w:rPr>
          <w:sz w:val="24"/>
          <w:szCs w:val="24"/>
        </w:rPr>
        <w:t xml:space="preserve"> Close only, per the project's univariate sequence-modelling specification.</w:t>
      </w:r>
    </w:p>
    <w:p w14:paraId="48CC10BA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6. Data Scaling</w:t>
      </w:r>
    </w:p>
    <w:p w14:paraId="57AA994B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MinMaxScaler (range 0–1) was used to normalize the closing price, which helps RNN/LSTM models converge faster. Critically, the scaler was fit only on the training portion of the data (computed after a chronological 80/20 split) and then applied to both train and test sets — fitting on the full dataset (including test) would leak future price-range information into training, a common time-series pipeline mistake that was deliberately avoided.</w:t>
      </w:r>
    </w:p>
    <w:tbl>
      <w:tblPr>
        <w:tblStyle w:val="GridTable6Colorful"/>
        <w:tblW w:w="8680" w:type="dxa"/>
        <w:tblLook w:val="0000" w:firstRow="0" w:lastRow="0" w:firstColumn="0" w:lastColumn="0" w:noHBand="0" w:noVBand="0"/>
      </w:tblPr>
      <w:tblGrid>
        <w:gridCol w:w="4340"/>
        <w:gridCol w:w="4340"/>
      </w:tblGrid>
      <w:tr w:rsidR="00EA219E" w:rsidRPr="00EA219E" w14:paraId="30995DA3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46C7B766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Split</w:t>
            </w:r>
          </w:p>
        </w:tc>
        <w:tc>
          <w:tcPr>
            <w:tcW w:w="4340" w:type="dxa"/>
          </w:tcPr>
          <w:p w14:paraId="76D3A622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Records</w:t>
            </w:r>
          </w:p>
        </w:tc>
      </w:tr>
      <w:tr w:rsidR="00EA219E" w:rsidRPr="00EA219E" w14:paraId="47DBE43F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06AA16A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Training set</w:t>
            </w:r>
          </w:p>
        </w:tc>
        <w:tc>
          <w:tcPr>
            <w:tcW w:w="4340" w:type="dxa"/>
          </w:tcPr>
          <w:p w14:paraId="4633AF61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1,932 (≈80%)</w:t>
            </w:r>
          </w:p>
        </w:tc>
      </w:tr>
      <w:tr w:rsidR="00EA219E" w:rsidRPr="00EA219E" w14:paraId="474219BB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59D00DB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Test set</w:t>
            </w:r>
          </w:p>
        </w:tc>
        <w:tc>
          <w:tcPr>
            <w:tcW w:w="4340" w:type="dxa"/>
          </w:tcPr>
          <w:p w14:paraId="1DAB149A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484 (≈20%)</w:t>
            </w:r>
          </w:p>
        </w:tc>
      </w:tr>
      <w:tr w:rsidR="00EA219E" w:rsidRPr="00EA219E" w14:paraId="4357AB70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4DE2073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Split date</w:t>
            </w:r>
          </w:p>
        </w:tc>
        <w:tc>
          <w:tcPr>
            <w:tcW w:w="4340" w:type="dxa"/>
          </w:tcPr>
          <w:p w14:paraId="733B41C9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2018-03-02</w:t>
            </w:r>
          </w:p>
        </w:tc>
      </w:tr>
    </w:tbl>
    <w:p w14:paraId="1558C56D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7. Sequence Creation (Sliding Window)</w:t>
      </w:r>
    </w:p>
    <w:p w14:paraId="099AA2FE" w14:textId="77777777" w:rsidR="00EA219E" w:rsidRPr="00EA219E" w:rsidRDefault="00EA219E" w:rsidP="00EA219E">
      <w:pPr>
        <w:spacing w:after="160"/>
      </w:pPr>
      <w:r w:rsidRPr="00EA219E">
        <w:rPr>
          <w:sz w:val="24"/>
          <w:szCs w:val="24"/>
        </w:rPr>
        <w:t>A 60-day look-back window was used: each input sample consists of the previous 60 days of scaled closing prices, and the target is the closing price at a chosen horizon ahead. Three separate supervised datasets were built — one each for the 1-day, 5-day, and 10-day-ahead targets — so that each horizon could be directly evaluated against real held-out ground truth, rather than relying only on a recursive forecast with no ground truth beyond day 1.</w:t>
      </w:r>
    </w:p>
    <w:tbl>
      <w:tblPr>
        <w:tblStyle w:val="GridTable6Colorful"/>
        <w:tblW w:w="8680" w:type="dxa"/>
        <w:tblLook w:val="0000" w:firstRow="0" w:lastRow="0" w:firstColumn="0" w:lastColumn="0" w:noHBand="0" w:noVBand="0"/>
      </w:tblPr>
      <w:tblGrid>
        <w:gridCol w:w="2893"/>
        <w:gridCol w:w="2893"/>
        <w:gridCol w:w="2894"/>
      </w:tblGrid>
      <w:tr w:rsidR="00EA219E" w:rsidRPr="00EA219E" w14:paraId="542DDA1E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0C6BAD30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Horizon</w:t>
            </w:r>
          </w:p>
        </w:tc>
        <w:tc>
          <w:tcPr>
            <w:tcW w:w="2893" w:type="dxa"/>
          </w:tcPr>
          <w:p w14:paraId="19DFC5C9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EA219E">
              <w:rPr>
                <w:b/>
                <w:bCs/>
                <w:color w:val="auto"/>
              </w:rPr>
              <w:t>X_train</w:t>
            </w:r>
            <w:proofErr w:type="spellEnd"/>
            <w:r w:rsidRPr="00EA219E">
              <w:rPr>
                <w:b/>
                <w:bCs/>
                <w:color w:val="auto"/>
              </w:rPr>
              <w:t xml:space="preserve"> shape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4" w:type="dxa"/>
          </w:tcPr>
          <w:p w14:paraId="38B35E1A" w14:textId="77777777" w:rsidR="00EA219E" w:rsidRPr="00EA219E" w:rsidRDefault="00EA219E" w:rsidP="00491DB1">
            <w:pPr>
              <w:rPr>
                <w:color w:val="auto"/>
              </w:rPr>
            </w:pPr>
            <w:proofErr w:type="spellStart"/>
            <w:r w:rsidRPr="00EA219E">
              <w:rPr>
                <w:b/>
                <w:bCs/>
                <w:color w:val="auto"/>
              </w:rPr>
              <w:t>X_test</w:t>
            </w:r>
            <w:proofErr w:type="spellEnd"/>
            <w:r w:rsidRPr="00EA219E">
              <w:rPr>
                <w:b/>
                <w:bCs/>
                <w:color w:val="auto"/>
              </w:rPr>
              <w:t xml:space="preserve"> shape</w:t>
            </w:r>
          </w:p>
        </w:tc>
      </w:tr>
      <w:tr w:rsidR="00EA219E" w:rsidRPr="00EA219E" w14:paraId="1B0F8451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7E15A675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1-day</w:t>
            </w:r>
          </w:p>
        </w:tc>
        <w:tc>
          <w:tcPr>
            <w:tcW w:w="2893" w:type="dxa"/>
          </w:tcPr>
          <w:p w14:paraId="1F9FD67C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(1872, 60, 1)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4" w:type="dxa"/>
          </w:tcPr>
          <w:p w14:paraId="51F40FD0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(484, 60, 1)</w:t>
            </w:r>
          </w:p>
        </w:tc>
      </w:tr>
      <w:tr w:rsidR="00EA219E" w:rsidRPr="00EA219E" w14:paraId="77ACCF74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3D53E48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5-day</w:t>
            </w:r>
          </w:p>
        </w:tc>
        <w:tc>
          <w:tcPr>
            <w:tcW w:w="2893" w:type="dxa"/>
          </w:tcPr>
          <w:p w14:paraId="5672E55C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(1872, 60, 1)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4" w:type="dxa"/>
          </w:tcPr>
          <w:p w14:paraId="10D5DDDB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(480, 60, 1)</w:t>
            </w:r>
          </w:p>
        </w:tc>
      </w:tr>
      <w:tr w:rsidR="00EA219E" w:rsidRPr="00EA219E" w14:paraId="652488F2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3B9F9E7C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10-day</w:t>
            </w:r>
          </w:p>
        </w:tc>
        <w:tc>
          <w:tcPr>
            <w:tcW w:w="2893" w:type="dxa"/>
          </w:tcPr>
          <w:p w14:paraId="758FD2EF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(1872, 60, 1)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4" w:type="dxa"/>
          </w:tcPr>
          <w:p w14:paraId="299C1D80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(475, 60, 1)</w:t>
            </w:r>
          </w:p>
        </w:tc>
      </w:tr>
    </w:tbl>
    <w:p w14:paraId="45A696C3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The train/test split preserved chronological order (no shuffling), and test sequences never contributed to fitting the scaler or to model training.</w:t>
      </w:r>
    </w:p>
    <w:p w14:paraId="22F2916E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8. Model Architectures</w:t>
      </w:r>
    </w:p>
    <w:p w14:paraId="4EC1F397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SimpleRNN</w:t>
      </w:r>
    </w:p>
    <w:p w14:paraId="01AABE67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SimpleRNN(64 units, return_sequences=True) → Dropout(0.2) → SimpleRNN(32 units) → Dropout(0.2) → Dense(1)</w:t>
      </w:r>
    </w:p>
    <w:p w14:paraId="0E572108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Total trainable parameters: 7,361</w:t>
      </w:r>
    </w:p>
    <w:p w14:paraId="3F9AD872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LSTM</w:t>
      </w:r>
    </w:p>
    <w:p w14:paraId="326E6229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LSTM(64 units, return_sequences=True) → Dropout(0.2) → LSTM(32 units) → Dropout(0.2) → Dense(1)</w:t>
      </w:r>
    </w:p>
    <w:p w14:paraId="4FB88314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Total trainable parameters: 29,345</w:t>
      </w:r>
    </w:p>
    <w:p w14:paraId="74897B57" w14:textId="77777777" w:rsidR="00EA219E" w:rsidRPr="00EA219E" w:rsidRDefault="00EA219E" w:rsidP="00EA219E">
      <w:pPr>
        <w:spacing w:after="160"/>
      </w:pPr>
      <w:r w:rsidRPr="00EA219E">
        <w:rPr>
          <w:sz w:val="24"/>
          <w:szCs w:val="24"/>
        </w:rPr>
        <w:lastRenderedPageBreak/>
        <w:t>Both architectures use two stacked recurrent layers with Dropout regularization to reduce overfitting, followed by a Dense(1) output layer for the predicted price. Both were compiled with the Adam optimizer and Mean Squared Error (MSE) loss</w:t>
      </w:r>
      <w:r w:rsidRPr="00EA219E">
        <w:t>.</w:t>
      </w:r>
    </w:p>
    <w:p w14:paraId="594DBA15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9. Training Approach</w:t>
      </w:r>
    </w:p>
    <w:p w14:paraId="15E88CAD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A critical correction applied in this project: validation data during training was carved out of the training split only (</w:t>
      </w:r>
      <w:proofErr w:type="spellStart"/>
      <w:r w:rsidRPr="00EA219E">
        <w:rPr>
          <w:sz w:val="24"/>
          <w:szCs w:val="24"/>
        </w:rPr>
        <w:t>validation_split</w:t>
      </w:r>
      <w:proofErr w:type="spellEnd"/>
      <w:r w:rsidRPr="00EA219E">
        <w:rPr>
          <w:sz w:val="24"/>
          <w:szCs w:val="24"/>
        </w:rPr>
        <w:t xml:space="preserve"> = 0.1), and the held-out test set (</w:t>
      </w:r>
      <w:proofErr w:type="spellStart"/>
      <w:r w:rsidRPr="00EA219E">
        <w:rPr>
          <w:sz w:val="24"/>
          <w:szCs w:val="24"/>
        </w:rPr>
        <w:t>X_test</w:t>
      </w:r>
      <w:proofErr w:type="spellEnd"/>
      <w:r w:rsidRPr="00EA219E">
        <w:rPr>
          <w:sz w:val="24"/>
          <w:szCs w:val="24"/>
        </w:rPr>
        <w:t>) was never shown to the model or to EarlyStopping/</w:t>
      </w:r>
      <w:proofErr w:type="spellStart"/>
      <w:r w:rsidRPr="00EA219E">
        <w:rPr>
          <w:sz w:val="24"/>
          <w:szCs w:val="24"/>
        </w:rPr>
        <w:t>ModelCheckpoint</w:t>
      </w:r>
      <w:proofErr w:type="spellEnd"/>
      <w:r w:rsidRPr="00EA219E">
        <w:rPr>
          <w:sz w:val="24"/>
          <w:szCs w:val="24"/>
        </w:rPr>
        <w:t xml:space="preserve"> during training. This avoids a common data-leakage mistake — using the test set as </w:t>
      </w:r>
      <w:proofErr w:type="spellStart"/>
      <w:r w:rsidRPr="00EA219E">
        <w:rPr>
          <w:sz w:val="24"/>
          <w:szCs w:val="24"/>
        </w:rPr>
        <w:t>validation_data</w:t>
      </w:r>
      <w:proofErr w:type="spellEnd"/>
      <w:r w:rsidRPr="00EA219E">
        <w:rPr>
          <w:sz w:val="24"/>
          <w:szCs w:val="24"/>
        </w:rPr>
        <w:t xml:space="preserve"> — which would make EarlyStopping and reported metrics artificially optimistic.</w:t>
      </w:r>
    </w:p>
    <w:p w14:paraId="1569828C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 xml:space="preserve">EarlyStopping: monitors </w:t>
      </w:r>
      <w:proofErr w:type="spellStart"/>
      <w:r w:rsidRPr="00EA219E">
        <w:rPr>
          <w:sz w:val="24"/>
          <w:szCs w:val="24"/>
        </w:rPr>
        <w:t>val_loss</w:t>
      </w:r>
      <w:proofErr w:type="spellEnd"/>
      <w:r w:rsidRPr="00EA219E">
        <w:rPr>
          <w:sz w:val="24"/>
          <w:szCs w:val="24"/>
        </w:rPr>
        <w:t>, patience = 8 epochs, restores best weights.</w:t>
      </w:r>
    </w:p>
    <w:p w14:paraId="0BC1E318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proofErr w:type="spellStart"/>
      <w:r w:rsidRPr="00EA219E">
        <w:rPr>
          <w:sz w:val="24"/>
          <w:szCs w:val="24"/>
        </w:rPr>
        <w:t>ModelCheckpoint</w:t>
      </w:r>
      <w:proofErr w:type="spellEnd"/>
      <w:r w:rsidRPr="00EA219E">
        <w:rPr>
          <w:sz w:val="24"/>
          <w:szCs w:val="24"/>
        </w:rPr>
        <w:t xml:space="preserve">: saves the best model (lowest </w:t>
      </w:r>
      <w:proofErr w:type="spellStart"/>
      <w:r w:rsidRPr="00EA219E">
        <w:rPr>
          <w:sz w:val="24"/>
          <w:szCs w:val="24"/>
        </w:rPr>
        <w:t>val_loss</w:t>
      </w:r>
      <w:proofErr w:type="spellEnd"/>
      <w:r w:rsidRPr="00EA219E">
        <w:rPr>
          <w:sz w:val="24"/>
          <w:szCs w:val="24"/>
        </w:rPr>
        <w:t>) for each architecture/horizon combination.</w:t>
      </w:r>
    </w:p>
    <w:p w14:paraId="2831C5F8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Six models were trained in total: {SimpleRNN, LSTM} × {1-day, 5-day, 10-day}.</w:t>
      </w:r>
    </w:p>
    <w:p w14:paraId="1884820E" w14:textId="77777777" w:rsidR="00EA219E" w:rsidRPr="00EA219E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EA219E">
        <w:rPr>
          <w:sz w:val="24"/>
          <w:szCs w:val="24"/>
        </w:rPr>
        <w:t>Training ran for up to 50 epochs per model, batch size 32, with EarlyStopping typically triggering between 9 and 26 epochs depending on the model/horizon.</w:t>
      </w:r>
    </w:p>
    <w:p w14:paraId="2E7E0716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drawing>
          <wp:inline distT="0" distB="0" distL="0" distR="0" wp14:anchorId="20D5479E" wp14:editId="31293012">
            <wp:extent cx="6400800" cy="1394588"/>
            <wp:effectExtent l="0" t="0" r="0" b="0"/>
            <wp:docPr id="836455361" name="Picture 836455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9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315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6: Training and validation loss curves for both architectures across all three horizons</w:t>
      </w:r>
    </w:p>
    <w:p w14:paraId="1AFCE92C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10. Model Evaluation</w:t>
      </w:r>
    </w:p>
    <w:p w14:paraId="738A0DD4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>Predictions were inverse-transformed back to real dollar values before computing error metrics, since evaluating in the 0–1 scaled space would not be interpretable in dollar terms.</w:t>
      </w:r>
    </w:p>
    <w:tbl>
      <w:tblPr>
        <w:tblStyle w:val="GridTable6Colorful"/>
        <w:tblW w:w="8680" w:type="dxa"/>
        <w:tblLook w:val="0000" w:firstRow="0" w:lastRow="0" w:firstColumn="0" w:lastColumn="0" w:noHBand="0" w:noVBand="0"/>
      </w:tblPr>
      <w:tblGrid>
        <w:gridCol w:w="1736"/>
        <w:gridCol w:w="1736"/>
        <w:gridCol w:w="1736"/>
        <w:gridCol w:w="1736"/>
        <w:gridCol w:w="1736"/>
      </w:tblGrid>
      <w:tr w:rsidR="00EA219E" w:rsidRPr="00EA219E" w14:paraId="5E8E22D5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2417DD9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Model</w:t>
            </w:r>
          </w:p>
        </w:tc>
        <w:tc>
          <w:tcPr>
            <w:tcW w:w="1736" w:type="dxa"/>
          </w:tcPr>
          <w:p w14:paraId="75859CCF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Horizon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21DDAD22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MSE</w:t>
            </w:r>
          </w:p>
        </w:tc>
        <w:tc>
          <w:tcPr>
            <w:tcW w:w="1736" w:type="dxa"/>
          </w:tcPr>
          <w:p w14:paraId="5047B59C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RMSE ($)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6A0F0DB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MAE ($)</w:t>
            </w:r>
          </w:p>
        </w:tc>
      </w:tr>
      <w:tr w:rsidR="00EA219E" w:rsidRPr="00EA219E" w14:paraId="2929778C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DDB412A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LSTM</w:t>
            </w:r>
          </w:p>
        </w:tc>
        <w:tc>
          <w:tcPr>
            <w:tcW w:w="1736" w:type="dxa"/>
          </w:tcPr>
          <w:p w14:paraId="2F5F9E6F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1-day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24DC851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699.30</w:t>
            </w:r>
          </w:p>
        </w:tc>
        <w:tc>
          <w:tcPr>
            <w:tcW w:w="1736" w:type="dxa"/>
          </w:tcPr>
          <w:p w14:paraId="7D0A838B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26.44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7656D9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17.37</w:t>
            </w:r>
          </w:p>
        </w:tc>
      </w:tr>
      <w:tr w:rsidR="00EA219E" w:rsidRPr="00EA219E" w14:paraId="7F7D52BC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36DBF2DA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SimpleRNN</w:t>
            </w:r>
          </w:p>
        </w:tc>
        <w:tc>
          <w:tcPr>
            <w:tcW w:w="1736" w:type="dxa"/>
          </w:tcPr>
          <w:p w14:paraId="2F00697E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1-day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3DDBC783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399.13</w:t>
            </w:r>
          </w:p>
        </w:tc>
        <w:tc>
          <w:tcPr>
            <w:tcW w:w="1736" w:type="dxa"/>
          </w:tcPr>
          <w:p w14:paraId="3381C408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19.98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44A3FC6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12.52</w:t>
            </w:r>
          </w:p>
        </w:tc>
      </w:tr>
      <w:tr w:rsidR="00EA219E" w:rsidRPr="00EA219E" w14:paraId="14B6A614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5DC054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LSTM</w:t>
            </w:r>
          </w:p>
        </w:tc>
        <w:tc>
          <w:tcPr>
            <w:tcW w:w="1736" w:type="dxa"/>
          </w:tcPr>
          <w:p w14:paraId="64C2A4B1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5-day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A3513D6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1419.73</w:t>
            </w:r>
          </w:p>
        </w:tc>
        <w:tc>
          <w:tcPr>
            <w:tcW w:w="1736" w:type="dxa"/>
          </w:tcPr>
          <w:p w14:paraId="0146C40D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37.68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2DBC8E5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25.31</w:t>
            </w:r>
          </w:p>
        </w:tc>
      </w:tr>
      <w:tr w:rsidR="00EA219E" w:rsidRPr="00EA219E" w14:paraId="72A10D97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3E0E04AD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SimpleRNN</w:t>
            </w:r>
          </w:p>
        </w:tc>
        <w:tc>
          <w:tcPr>
            <w:tcW w:w="1736" w:type="dxa"/>
          </w:tcPr>
          <w:p w14:paraId="3AD633E8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5-day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46921F5A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1858.12</w:t>
            </w:r>
          </w:p>
        </w:tc>
        <w:tc>
          <w:tcPr>
            <w:tcW w:w="1736" w:type="dxa"/>
          </w:tcPr>
          <w:p w14:paraId="6EC991E4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43.11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45EEBBA2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29.12</w:t>
            </w:r>
          </w:p>
        </w:tc>
      </w:tr>
      <w:tr w:rsidR="00EA219E" w:rsidRPr="00EA219E" w14:paraId="043F0AF3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27934E98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LSTM</w:t>
            </w:r>
          </w:p>
        </w:tc>
        <w:tc>
          <w:tcPr>
            <w:tcW w:w="1736" w:type="dxa"/>
          </w:tcPr>
          <w:p w14:paraId="593AF70E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10-day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4624CC1F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2021.56</w:t>
            </w:r>
          </w:p>
        </w:tc>
        <w:tc>
          <w:tcPr>
            <w:tcW w:w="1736" w:type="dxa"/>
          </w:tcPr>
          <w:p w14:paraId="0CB79AA8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44.96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7AB4C6E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31.29</w:t>
            </w:r>
          </w:p>
        </w:tc>
      </w:tr>
      <w:tr w:rsidR="00EA219E" w:rsidRPr="00EA219E" w14:paraId="3FDB2E2D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193B1F8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SimpleRNN</w:t>
            </w:r>
          </w:p>
        </w:tc>
        <w:tc>
          <w:tcPr>
            <w:tcW w:w="1736" w:type="dxa"/>
          </w:tcPr>
          <w:p w14:paraId="1A1F3895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10-day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3ACA7C8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2459.55</w:t>
            </w:r>
          </w:p>
        </w:tc>
        <w:tc>
          <w:tcPr>
            <w:tcW w:w="1736" w:type="dxa"/>
          </w:tcPr>
          <w:p w14:paraId="05182891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49.59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AD8F27C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32.89</w:t>
            </w:r>
          </w:p>
        </w:tc>
      </w:tr>
    </w:tbl>
    <w:p w14:paraId="568757DA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lastRenderedPageBreak/>
        <w:drawing>
          <wp:inline distT="0" distB="0" distL="0" distR="0" wp14:anchorId="1425FACF" wp14:editId="101389A1">
            <wp:extent cx="3619500" cy="3100566"/>
            <wp:effectExtent l="0" t="0" r="0" b="0"/>
            <wp:docPr id="597175098" name="Picture 59717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286E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7: Actual vs. predicted closing price for 1-day, 5-day, and 10-day horizons</w:t>
      </w:r>
    </w:p>
    <w:p w14:paraId="0215BC76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11. Hyperparameter Tuning with GridSearchCV</w:t>
      </w:r>
    </w:p>
    <w:p w14:paraId="16EBACB3" w14:textId="77777777" w:rsidR="00EA219E" w:rsidRPr="00EA219E" w:rsidRDefault="00EA219E" w:rsidP="00EA219E">
      <w:pPr>
        <w:spacing w:after="160"/>
        <w:rPr>
          <w:sz w:val="24"/>
          <w:szCs w:val="24"/>
        </w:rPr>
      </w:pPr>
      <w:r w:rsidRPr="00EA219E">
        <w:rPr>
          <w:sz w:val="24"/>
          <w:szCs w:val="24"/>
        </w:rPr>
        <w:t xml:space="preserve">The LSTM builder function was wrapped with </w:t>
      </w:r>
      <w:proofErr w:type="spellStart"/>
      <w:r w:rsidRPr="00EA219E">
        <w:rPr>
          <w:sz w:val="24"/>
          <w:szCs w:val="24"/>
        </w:rPr>
        <w:t>scikeras.wrappers.KerasRegressor</w:t>
      </w:r>
      <w:proofErr w:type="spellEnd"/>
      <w:r w:rsidRPr="00EA219E">
        <w:rPr>
          <w:sz w:val="24"/>
          <w:szCs w:val="24"/>
        </w:rPr>
        <w:t xml:space="preserve"> and tuned using </w:t>
      </w:r>
      <w:proofErr w:type="spellStart"/>
      <w:r w:rsidRPr="00EA219E">
        <w:rPr>
          <w:sz w:val="24"/>
          <w:szCs w:val="24"/>
        </w:rPr>
        <w:t>sklearn's</w:t>
      </w:r>
      <w:proofErr w:type="spellEnd"/>
      <w:r w:rsidRPr="00EA219E">
        <w:rPr>
          <w:sz w:val="24"/>
          <w:szCs w:val="24"/>
        </w:rPr>
        <w:t xml:space="preserve"> GridSearchCV, as required by the project specification, over three hyperparameters: number of units, dropout rate, and learning rate. Tuning was run on the 1-day horizon dataset with 2-fold cross-validation.</w:t>
      </w:r>
    </w:p>
    <w:tbl>
      <w:tblPr>
        <w:tblStyle w:val="GridTable6Colorful"/>
        <w:tblW w:w="8680" w:type="dxa"/>
        <w:tblLook w:val="0000" w:firstRow="0" w:lastRow="0" w:firstColumn="0" w:lastColumn="0" w:noHBand="0" w:noVBand="0"/>
      </w:tblPr>
      <w:tblGrid>
        <w:gridCol w:w="1736"/>
        <w:gridCol w:w="1736"/>
        <w:gridCol w:w="1736"/>
        <w:gridCol w:w="2255"/>
        <w:gridCol w:w="1217"/>
      </w:tblGrid>
      <w:tr w:rsidR="00EA219E" w:rsidRPr="00EA219E" w14:paraId="795051B8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6A4CFA7C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Units</w:t>
            </w:r>
          </w:p>
        </w:tc>
        <w:tc>
          <w:tcPr>
            <w:tcW w:w="1736" w:type="dxa"/>
          </w:tcPr>
          <w:p w14:paraId="26326561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Dropout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7667F72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Learning Rate</w:t>
            </w:r>
          </w:p>
        </w:tc>
        <w:tc>
          <w:tcPr>
            <w:tcW w:w="2255" w:type="dxa"/>
          </w:tcPr>
          <w:p w14:paraId="0D8186DC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Mean CV Score (neg MSE)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3D1F6AC8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Rank</w:t>
            </w:r>
          </w:p>
        </w:tc>
      </w:tr>
      <w:tr w:rsidR="00EA219E" w:rsidRPr="00EA219E" w14:paraId="1FEE8A4E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95C0299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64</w:t>
            </w:r>
          </w:p>
        </w:tc>
        <w:tc>
          <w:tcPr>
            <w:tcW w:w="1736" w:type="dxa"/>
          </w:tcPr>
          <w:p w14:paraId="79DC59B5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56A627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0.005</w:t>
            </w:r>
          </w:p>
        </w:tc>
        <w:tc>
          <w:tcPr>
            <w:tcW w:w="2255" w:type="dxa"/>
          </w:tcPr>
          <w:p w14:paraId="2D4FAC9F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-0.001475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649E173E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1</w:t>
            </w:r>
          </w:p>
        </w:tc>
      </w:tr>
      <w:tr w:rsidR="00EA219E" w:rsidRPr="00EA219E" w14:paraId="0ABFAA59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1D3C919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64</w:t>
            </w:r>
          </w:p>
        </w:tc>
        <w:tc>
          <w:tcPr>
            <w:tcW w:w="1736" w:type="dxa"/>
          </w:tcPr>
          <w:p w14:paraId="37A999EE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0831E06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0.001</w:t>
            </w:r>
          </w:p>
        </w:tc>
        <w:tc>
          <w:tcPr>
            <w:tcW w:w="2255" w:type="dxa"/>
          </w:tcPr>
          <w:p w14:paraId="4123887F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-0.001511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0B385273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2</w:t>
            </w:r>
          </w:p>
        </w:tc>
      </w:tr>
      <w:tr w:rsidR="00EA219E" w:rsidRPr="00EA219E" w14:paraId="634D3CB9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75F6BE05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64</w:t>
            </w:r>
          </w:p>
        </w:tc>
        <w:tc>
          <w:tcPr>
            <w:tcW w:w="1736" w:type="dxa"/>
          </w:tcPr>
          <w:p w14:paraId="15E4ADAC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0E749AC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0.005</w:t>
            </w:r>
          </w:p>
        </w:tc>
        <w:tc>
          <w:tcPr>
            <w:tcW w:w="2255" w:type="dxa"/>
          </w:tcPr>
          <w:p w14:paraId="44020913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-0.002110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1D230395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</w:t>
            </w:r>
          </w:p>
        </w:tc>
      </w:tr>
      <w:tr w:rsidR="00EA219E" w:rsidRPr="00EA219E" w14:paraId="3855B37A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251F7DFE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64</w:t>
            </w:r>
          </w:p>
        </w:tc>
        <w:tc>
          <w:tcPr>
            <w:tcW w:w="1736" w:type="dxa"/>
          </w:tcPr>
          <w:p w14:paraId="44314B9F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322EDE2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0.001</w:t>
            </w:r>
          </w:p>
        </w:tc>
        <w:tc>
          <w:tcPr>
            <w:tcW w:w="2255" w:type="dxa"/>
          </w:tcPr>
          <w:p w14:paraId="4B0CDA94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-0.002461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472A2EE4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4</w:t>
            </w:r>
          </w:p>
        </w:tc>
      </w:tr>
      <w:tr w:rsidR="00EA219E" w:rsidRPr="00EA219E" w14:paraId="6AEC241D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4AD31035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32</w:t>
            </w:r>
          </w:p>
        </w:tc>
        <w:tc>
          <w:tcPr>
            <w:tcW w:w="1736" w:type="dxa"/>
          </w:tcPr>
          <w:p w14:paraId="1E21A6A2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C02657A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0.005</w:t>
            </w:r>
          </w:p>
        </w:tc>
        <w:tc>
          <w:tcPr>
            <w:tcW w:w="2255" w:type="dxa"/>
          </w:tcPr>
          <w:p w14:paraId="52FBBDE1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-0.002624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1EB0424C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5</w:t>
            </w:r>
          </w:p>
        </w:tc>
      </w:tr>
      <w:tr w:rsidR="00EA219E" w:rsidRPr="00EA219E" w14:paraId="2696A5A3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003269D2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32</w:t>
            </w:r>
          </w:p>
        </w:tc>
        <w:tc>
          <w:tcPr>
            <w:tcW w:w="1736" w:type="dxa"/>
          </w:tcPr>
          <w:p w14:paraId="29124561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3CFC5489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0.001</w:t>
            </w:r>
          </w:p>
        </w:tc>
        <w:tc>
          <w:tcPr>
            <w:tcW w:w="2255" w:type="dxa"/>
          </w:tcPr>
          <w:p w14:paraId="3743D9C5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-0.002676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410637C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6</w:t>
            </w:r>
          </w:p>
        </w:tc>
      </w:tr>
      <w:tr w:rsidR="00EA219E" w:rsidRPr="00EA219E" w14:paraId="2AAC47AE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7C5D179B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32</w:t>
            </w:r>
          </w:p>
        </w:tc>
        <w:tc>
          <w:tcPr>
            <w:tcW w:w="1736" w:type="dxa"/>
          </w:tcPr>
          <w:p w14:paraId="1A5F9AC2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60C0CB48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0.005</w:t>
            </w:r>
          </w:p>
        </w:tc>
        <w:tc>
          <w:tcPr>
            <w:tcW w:w="2255" w:type="dxa"/>
          </w:tcPr>
          <w:p w14:paraId="5F437BF2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-0.005136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3AF6D73E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7</w:t>
            </w:r>
          </w:p>
        </w:tc>
      </w:tr>
      <w:tr w:rsidR="00EA219E" w:rsidRPr="00EA219E" w14:paraId="2F71198C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2E46B61A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32</w:t>
            </w:r>
          </w:p>
        </w:tc>
        <w:tc>
          <w:tcPr>
            <w:tcW w:w="1736" w:type="dxa"/>
          </w:tcPr>
          <w:p w14:paraId="69C4DFC1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6" w:type="dxa"/>
          </w:tcPr>
          <w:p w14:paraId="40C8E6ED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0.001</w:t>
            </w:r>
          </w:p>
        </w:tc>
        <w:tc>
          <w:tcPr>
            <w:tcW w:w="2255" w:type="dxa"/>
          </w:tcPr>
          <w:p w14:paraId="764FD694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-0.005480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dxa"/>
          </w:tcPr>
          <w:p w14:paraId="6FE7ECB7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8</w:t>
            </w:r>
          </w:p>
        </w:tc>
      </w:tr>
    </w:tbl>
    <w:p w14:paraId="20EDED72" w14:textId="77777777" w:rsidR="00EA219E" w:rsidRPr="00EA219E" w:rsidRDefault="00EA219E" w:rsidP="00EA219E">
      <w:pPr>
        <w:spacing w:after="160"/>
      </w:pPr>
      <w:r w:rsidRPr="00EA219E">
        <w:rPr>
          <w:b/>
          <w:bCs/>
        </w:rPr>
        <w:t xml:space="preserve">Best hyperparameters: units = 64, dropout = 0.2, </w:t>
      </w:r>
      <w:proofErr w:type="spellStart"/>
      <w:r w:rsidRPr="00EA219E">
        <w:rPr>
          <w:b/>
          <w:bCs/>
        </w:rPr>
        <w:t>learning_rate</w:t>
      </w:r>
      <w:proofErr w:type="spellEnd"/>
      <w:r w:rsidRPr="00EA219E">
        <w:rPr>
          <w:b/>
          <w:bCs/>
        </w:rPr>
        <w:t xml:space="preserve"> = 0.005.</w:t>
      </w:r>
    </w:p>
    <w:p w14:paraId="62BB033B" w14:textId="77777777" w:rsidR="00EA219E" w:rsidRPr="00EA219E" w:rsidRDefault="00EA219E" w:rsidP="00EA219E">
      <w:pPr>
        <w:spacing w:after="160"/>
        <w:rPr>
          <w:color w:val="4472C4" w:themeColor="accent1"/>
          <w:sz w:val="24"/>
          <w:szCs w:val="24"/>
        </w:rPr>
      </w:pPr>
      <w:r w:rsidRPr="00EA219E">
        <w:rPr>
          <w:color w:val="000000" w:themeColor="text1"/>
          <w:sz w:val="24"/>
          <w:szCs w:val="24"/>
        </w:rPr>
        <w:t>The final LSTM (1-day horizon) was retrained using these tuned hyperparameters and evaluated on the held-out test set:</w:t>
      </w:r>
    </w:p>
    <w:tbl>
      <w:tblPr>
        <w:tblStyle w:val="GridTable6Colorful"/>
        <w:tblW w:w="8680" w:type="dxa"/>
        <w:tblLook w:val="0000" w:firstRow="0" w:lastRow="0" w:firstColumn="0" w:lastColumn="0" w:noHBand="0" w:noVBand="0"/>
      </w:tblPr>
      <w:tblGrid>
        <w:gridCol w:w="4340"/>
        <w:gridCol w:w="4340"/>
      </w:tblGrid>
      <w:tr w:rsidR="00EA219E" w:rsidRPr="00EA219E" w14:paraId="5EE12F48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3B77DFF3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Model Variant</w:t>
            </w:r>
          </w:p>
        </w:tc>
        <w:tc>
          <w:tcPr>
            <w:tcW w:w="4340" w:type="dxa"/>
          </w:tcPr>
          <w:p w14:paraId="00D74E3D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b/>
                <w:bCs/>
                <w:color w:val="auto"/>
              </w:rPr>
              <w:t>RMSE ($)</w:t>
            </w:r>
          </w:p>
        </w:tc>
      </w:tr>
      <w:tr w:rsidR="00EA219E" w:rsidRPr="00EA219E" w14:paraId="27DA2876" w14:textId="77777777" w:rsidTr="00EA21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7FDFD50A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Untuned LSTM (1-day, baseline)</w:t>
            </w:r>
          </w:p>
        </w:tc>
        <w:tc>
          <w:tcPr>
            <w:tcW w:w="4340" w:type="dxa"/>
          </w:tcPr>
          <w:p w14:paraId="48FCDDEA" w14:textId="77777777" w:rsidR="00EA219E" w:rsidRPr="00EA219E" w:rsidRDefault="00EA219E" w:rsidP="00491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26.44</w:t>
            </w:r>
          </w:p>
        </w:tc>
      </w:tr>
      <w:tr w:rsidR="00EA219E" w:rsidRPr="00EA219E" w14:paraId="087D2819" w14:textId="77777777" w:rsidTr="00EA2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40" w:type="dxa"/>
          </w:tcPr>
          <w:p w14:paraId="774EF129" w14:textId="77777777" w:rsidR="00EA219E" w:rsidRPr="00EA219E" w:rsidRDefault="00EA219E" w:rsidP="00491DB1">
            <w:pPr>
              <w:rPr>
                <w:color w:val="auto"/>
              </w:rPr>
            </w:pPr>
            <w:r w:rsidRPr="00EA219E">
              <w:rPr>
                <w:color w:val="auto"/>
              </w:rPr>
              <w:t>Tuned LSTM (1-day, GridSearchCV)</w:t>
            </w:r>
          </w:p>
        </w:tc>
        <w:tc>
          <w:tcPr>
            <w:tcW w:w="4340" w:type="dxa"/>
          </w:tcPr>
          <w:p w14:paraId="2A8697E0" w14:textId="77777777" w:rsidR="00EA219E" w:rsidRPr="00EA219E" w:rsidRDefault="00EA219E" w:rsidP="00491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EA219E">
              <w:rPr>
                <w:color w:val="auto"/>
              </w:rPr>
              <w:t>17.02</w:t>
            </w:r>
          </w:p>
        </w:tc>
      </w:tr>
    </w:tbl>
    <w:p w14:paraId="4477F1A4" w14:textId="77777777" w:rsidR="00EA219E" w:rsidRPr="00EA219E" w:rsidRDefault="00EA219E" w:rsidP="00EA219E">
      <w:pPr>
        <w:spacing w:after="160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Hyperparameter tuning improved the 1-day LSTM's RMSE by roughly 35%, confirming the value of systematic tuning over default settings.</w:t>
      </w:r>
    </w:p>
    <w:p w14:paraId="487E0103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lastRenderedPageBreak/>
        <w:t>12. Model Comparison — Final Summary</w:t>
      </w:r>
    </w:p>
    <w:p w14:paraId="24F9A12A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drawing>
          <wp:inline distT="0" distB="0" distL="0" distR="0" wp14:anchorId="5893A254" wp14:editId="32C75D3D">
            <wp:extent cx="3619500" cy="1995000"/>
            <wp:effectExtent l="0" t="0" r="0" b="0"/>
            <wp:docPr id="626406669" name="Picture 626406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9044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8: RMSE comparison across models and forecast horizons</w:t>
      </w:r>
    </w:p>
    <w:p w14:paraId="38B34989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Observations</w:t>
      </w:r>
    </w:p>
    <w:p w14:paraId="5118D586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At the 1-day horizon, SimpleRNN (RMSE $19.98) outperformed LSTM (RMSE $26.44).</w:t>
      </w:r>
    </w:p>
    <w:p w14:paraId="40C45DD5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At the 5-day and 10-day horizons, LSTM outperformed SimpleRNN (5-day: $37.68 vs $43.11; 10-day: $44.96 vs $49.59).</w:t>
      </w:r>
    </w:p>
    <w:p w14:paraId="48507A49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RMSE increases with forecast horizon for both models — expected, since forecast uncertainty compounds further into the future.</w:t>
      </w:r>
    </w:p>
    <w:p w14:paraId="52702E6A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 xml:space="preserve">LSTM's gating mechanism appears to help it retain longer-range dependencies better than SimpleRNN as the horizon grows, consistent with </w:t>
      </w:r>
      <w:proofErr w:type="spellStart"/>
      <w:r w:rsidRPr="00BC492D">
        <w:rPr>
          <w:sz w:val="24"/>
          <w:szCs w:val="24"/>
        </w:rPr>
        <w:t>SimpleRNN's</w:t>
      </w:r>
      <w:proofErr w:type="spellEnd"/>
      <w:r w:rsidRPr="00BC492D">
        <w:rPr>
          <w:sz w:val="24"/>
          <w:szCs w:val="24"/>
        </w:rPr>
        <w:t xml:space="preserve"> known vanishing-gradient limitation on longer sequences.</w:t>
      </w:r>
    </w:p>
    <w:p w14:paraId="34B187ED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13. Forward Forecast (Illustrative)</w:t>
      </w:r>
    </w:p>
    <w:p w14:paraId="19B86CC3" w14:textId="77777777" w:rsidR="00EA219E" w:rsidRPr="00BC492D" w:rsidRDefault="00EA219E" w:rsidP="00EA219E">
      <w:pPr>
        <w:spacing w:after="160"/>
        <w:rPr>
          <w:sz w:val="24"/>
          <w:szCs w:val="24"/>
        </w:rPr>
      </w:pPr>
      <w:r w:rsidRPr="00BC492D">
        <w:rPr>
          <w:sz w:val="24"/>
          <w:szCs w:val="24"/>
        </w:rPr>
        <w:t>Using the tuned 1-day LSTM model recursively (each prediction fed back as the newest input), a 10-day forward forecast beyond the end of the dataset was generated. This is illustrative of a deployment-style rollout and is distinct from the ground-truth-backed horizon evaluation in Section 10.</w:t>
      </w:r>
    </w:p>
    <w:p w14:paraId="53312A43" w14:textId="77777777" w:rsidR="00EA219E" w:rsidRPr="00EA219E" w:rsidRDefault="00EA219E" w:rsidP="00EA219E">
      <w:pPr>
        <w:spacing w:before="120" w:after="80"/>
        <w:jc w:val="center"/>
      </w:pPr>
      <w:r w:rsidRPr="00EA219E">
        <w:rPr>
          <w:noProof/>
        </w:rPr>
        <w:drawing>
          <wp:inline distT="0" distB="0" distL="0" distR="0" wp14:anchorId="2550B624" wp14:editId="246859C6">
            <wp:extent cx="3048000" cy="1844737"/>
            <wp:effectExtent l="0" t="0" r="0" b="0"/>
            <wp:docPr id="1331718477" name="Picture 133171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4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39BD" w14:textId="77777777" w:rsidR="00EA219E" w:rsidRPr="00EA219E" w:rsidRDefault="00EA219E" w:rsidP="00EA219E">
      <w:pPr>
        <w:spacing w:after="280"/>
        <w:jc w:val="center"/>
        <w:rPr>
          <w:color w:val="4472C4" w:themeColor="accent1"/>
        </w:rPr>
      </w:pPr>
      <w:r w:rsidRPr="00EA219E">
        <w:rPr>
          <w:i/>
          <w:iCs/>
          <w:color w:val="4472C4" w:themeColor="accent1"/>
        </w:rPr>
        <w:t>Figure 9: Illustrative 10-day forward recursive forecast</w:t>
      </w:r>
    </w:p>
    <w:p w14:paraId="4EC6C2A1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lastRenderedPageBreak/>
        <w:t>14. Insights &amp; Conclusion</w:t>
      </w:r>
    </w:p>
    <w:p w14:paraId="3A257274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Data &amp; Preprocessing</w:t>
      </w:r>
    </w:p>
    <w:p w14:paraId="49A4AF6C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The dataset was clean, with no missing values; a correct time-series-safe missing-value strategy (forward-fill + interpolation) was demonstrated for how any gaps would be handled.</w:t>
      </w:r>
    </w:p>
    <w:p w14:paraId="4DEA8F8F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The scaler was fit strictly on training data, and validation during training used only a split of the training data — the test set remained genuinely held out throughout.</w:t>
      </w:r>
    </w:p>
    <w:p w14:paraId="3A924C2C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Model Performance</w:t>
      </w:r>
    </w:p>
    <w:p w14:paraId="19810B0E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Both SimpleRNN and LSTM successfully learned Tesla's historical price patterns.</w:t>
      </w:r>
    </w:p>
    <w:p w14:paraId="0691CE1D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Forecast accuracy degrades gracefully with longer horizons, as expected for a pure price-history model.</w:t>
      </w:r>
    </w:p>
    <w:p w14:paraId="229CE097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LSTM benefited more from hyperparameter tuning and generalized better at longer horizons.</w:t>
      </w:r>
    </w:p>
    <w:p w14:paraId="7760C137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Limitations</w:t>
      </w:r>
    </w:p>
    <w:p w14:paraId="55E15C4E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Purely price-history-based sequence models cannot react to news, earnings surprises, or macroeconomic shocks (e.g., the Jan–Feb 2020 spike visible in the EDA).</w:t>
      </w:r>
    </w:p>
    <w:p w14:paraId="419F09F5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Recursive multi-step forecasting compounds prediction error at each successive step.</w:t>
      </w:r>
    </w:p>
    <w:p w14:paraId="0D4DCBE2" w14:textId="77777777" w:rsidR="00EA219E" w:rsidRPr="00EA219E" w:rsidRDefault="00EA219E" w:rsidP="00EA219E">
      <w:pPr>
        <w:pStyle w:val="Heading2"/>
        <w:spacing w:before="240" w:after="120"/>
        <w:rPr>
          <w:rFonts w:ascii="Times New Roman" w:hAnsi="Times New Roman" w:cs="Times New Roman"/>
          <w:b/>
          <w:bCs/>
          <w:color w:val="auto"/>
        </w:rPr>
      </w:pPr>
      <w:r w:rsidRPr="00EA219E">
        <w:rPr>
          <w:rFonts w:ascii="Times New Roman" w:hAnsi="Times New Roman" w:cs="Times New Roman"/>
          <w:b/>
          <w:bCs/>
          <w:color w:val="auto"/>
        </w:rPr>
        <w:t>Possible Improvements</w:t>
      </w:r>
    </w:p>
    <w:p w14:paraId="7C934256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Add exogenous features — news sentiment, trading volume trends, macroeconomic indicators (interest rates, inflation).</w:t>
      </w:r>
    </w:p>
    <w:p w14:paraId="3864E803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Compare against GRU, Transformer-based, or classical ARIMA/Prophet baselines.</w:t>
      </w:r>
    </w:p>
    <w:p w14:paraId="12257DDB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Expand GridSearchCV to a wider grid and additional axes such as window size and batch size.</w:t>
      </w:r>
    </w:p>
    <w:p w14:paraId="4359E7F7" w14:textId="77777777" w:rsidR="00EA219E" w:rsidRPr="00EA219E" w:rsidRDefault="00EA219E" w:rsidP="00EA219E">
      <w:pPr>
        <w:pStyle w:val="Heading1"/>
        <w:spacing w:before="320" w:after="160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EA219E">
        <w:rPr>
          <w:rFonts w:ascii="Times New Roman" w:hAnsi="Times New Roman" w:cs="Times New Roman"/>
          <w:b/>
          <w:bCs/>
          <w:color w:val="auto"/>
          <w:sz w:val="36"/>
          <w:szCs w:val="36"/>
        </w:rPr>
        <w:t>15. Business Use Cases</w:t>
      </w:r>
    </w:p>
    <w:p w14:paraId="6B24CB6A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Automated trading: use predictions to inform buy/sell signal generation for algorithmic strategies.</w:t>
      </w:r>
    </w:p>
    <w:p w14:paraId="7D9C95CB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Risk management: assess potential price volatility to support hedging and portfolio allocation decisions.</w:t>
      </w:r>
    </w:p>
    <w:p w14:paraId="7B2B8959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Long-term investment planning: support retirement fund, ETF, or mutual fund allocation decisions.</w:t>
      </w:r>
    </w:p>
    <w:p w14:paraId="50411E3B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Competitor benchmarking: apply the same pipeline to peer stocks (Rivian, NIO, Lucid) for comparative analysis.</w:t>
      </w:r>
    </w:p>
    <w:p w14:paraId="6D31A3DC" w14:textId="77777777" w:rsidR="00EA219E" w:rsidRPr="00BC492D" w:rsidRDefault="00EA219E" w:rsidP="00EA219E">
      <w:pPr>
        <w:pStyle w:val="ListParagraph"/>
        <w:numPr>
          <w:ilvl w:val="0"/>
          <w:numId w:val="1"/>
        </w:numPr>
        <w:spacing w:after="80"/>
        <w:contextualSpacing w:val="0"/>
        <w:rPr>
          <w:sz w:val="24"/>
          <w:szCs w:val="24"/>
        </w:rPr>
      </w:pPr>
      <w:r w:rsidRPr="00BC492D">
        <w:rPr>
          <w:sz w:val="24"/>
          <w:szCs w:val="24"/>
        </w:rPr>
        <w:t>Research: serve as a baseline for comparing against GRU, Transformer, or classical time-series models.</w:t>
      </w:r>
    </w:p>
    <w:p w14:paraId="5DBA0F2D" w14:textId="77777777" w:rsidR="00114196" w:rsidRPr="00BC492D" w:rsidRDefault="00114196" w:rsidP="00EA219E">
      <w:pPr>
        <w:rPr>
          <w:sz w:val="24"/>
          <w:szCs w:val="24"/>
        </w:rPr>
      </w:pPr>
    </w:p>
    <w:sectPr w:rsidR="00114196" w:rsidRPr="00BC492D" w:rsidSect="00EA219E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FE76" w14:textId="77777777" w:rsidR="00040464" w:rsidRDefault="00040464" w:rsidP="00BC492D">
      <w:r>
        <w:separator/>
      </w:r>
    </w:p>
  </w:endnote>
  <w:endnote w:type="continuationSeparator" w:id="0">
    <w:p w14:paraId="247B09D0" w14:textId="77777777" w:rsidR="00040464" w:rsidRDefault="00040464" w:rsidP="00BC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7BAD" w14:textId="77777777" w:rsidR="00EA219E" w:rsidRDefault="00EA219E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57A2" w14:textId="77777777" w:rsidR="00040464" w:rsidRDefault="00040464" w:rsidP="00BC492D">
      <w:r>
        <w:separator/>
      </w:r>
    </w:p>
  </w:footnote>
  <w:footnote w:type="continuationSeparator" w:id="0">
    <w:p w14:paraId="778A3851" w14:textId="77777777" w:rsidR="00040464" w:rsidRDefault="00040464" w:rsidP="00BC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BA79" w14:textId="77777777" w:rsidR="00EA219E" w:rsidRDefault="00EA219E">
    <w:pPr>
      <w:jc w:val="right"/>
    </w:pPr>
    <w:r>
      <w:rPr>
        <w:color w:val="888888"/>
        <w:sz w:val="16"/>
        <w:szCs w:val="16"/>
      </w:rPr>
      <w:t>Tesla Stock Price Prediction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4CB3"/>
    <w:multiLevelType w:val="hybridMultilevel"/>
    <w:tmpl w:val="6FB26070"/>
    <w:lvl w:ilvl="0" w:tplc="00702C64">
      <w:start w:val="1"/>
      <w:numFmt w:val="bullet"/>
      <w:lvlText w:val="●"/>
      <w:lvlJc w:val="left"/>
      <w:pPr>
        <w:ind w:left="720" w:hanging="360"/>
      </w:pPr>
    </w:lvl>
    <w:lvl w:ilvl="1" w:tplc="793C82AE">
      <w:start w:val="1"/>
      <w:numFmt w:val="bullet"/>
      <w:lvlText w:val="○"/>
      <w:lvlJc w:val="left"/>
      <w:pPr>
        <w:ind w:left="1440" w:hanging="360"/>
      </w:pPr>
    </w:lvl>
    <w:lvl w:ilvl="2" w:tplc="E2C07484">
      <w:start w:val="1"/>
      <w:numFmt w:val="bullet"/>
      <w:lvlText w:val="■"/>
      <w:lvlJc w:val="left"/>
      <w:pPr>
        <w:ind w:left="2160" w:hanging="360"/>
      </w:pPr>
    </w:lvl>
    <w:lvl w:ilvl="3" w:tplc="89948104">
      <w:start w:val="1"/>
      <w:numFmt w:val="bullet"/>
      <w:lvlText w:val="●"/>
      <w:lvlJc w:val="left"/>
      <w:pPr>
        <w:ind w:left="2880" w:hanging="360"/>
      </w:pPr>
    </w:lvl>
    <w:lvl w:ilvl="4" w:tplc="E378366A">
      <w:start w:val="1"/>
      <w:numFmt w:val="bullet"/>
      <w:lvlText w:val="○"/>
      <w:lvlJc w:val="left"/>
      <w:pPr>
        <w:ind w:left="3600" w:hanging="360"/>
      </w:pPr>
    </w:lvl>
    <w:lvl w:ilvl="5" w:tplc="D5941090">
      <w:start w:val="1"/>
      <w:numFmt w:val="bullet"/>
      <w:lvlText w:val="■"/>
      <w:lvlJc w:val="left"/>
      <w:pPr>
        <w:ind w:left="4320" w:hanging="360"/>
      </w:pPr>
    </w:lvl>
    <w:lvl w:ilvl="6" w:tplc="C5B8D458">
      <w:start w:val="1"/>
      <w:numFmt w:val="bullet"/>
      <w:lvlText w:val="●"/>
      <w:lvlJc w:val="left"/>
      <w:pPr>
        <w:ind w:left="5040" w:hanging="360"/>
      </w:pPr>
    </w:lvl>
    <w:lvl w:ilvl="7" w:tplc="E9FAAD5A">
      <w:start w:val="1"/>
      <w:numFmt w:val="bullet"/>
      <w:lvlText w:val="●"/>
      <w:lvlJc w:val="left"/>
      <w:pPr>
        <w:ind w:left="5760" w:hanging="360"/>
      </w:pPr>
    </w:lvl>
    <w:lvl w:ilvl="8" w:tplc="F05801B0">
      <w:start w:val="1"/>
      <w:numFmt w:val="bullet"/>
      <w:lvlText w:val="●"/>
      <w:lvlJc w:val="left"/>
      <w:pPr>
        <w:ind w:left="6480" w:hanging="360"/>
      </w:pPr>
    </w:lvl>
  </w:abstractNum>
  <w:num w:numId="1" w16cid:durableId="324406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9E"/>
    <w:rsid w:val="00040464"/>
    <w:rsid w:val="00114196"/>
    <w:rsid w:val="001D12E0"/>
    <w:rsid w:val="00237A65"/>
    <w:rsid w:val="00593856"/>
    <w:rsid w:val="006E2725"/>
    <w:rsid w:val="00BC492D"/>
    <w:rsid w:val="00C1558A"/>
    <w:rsid w:val="00D674F2"/>
    <w:rsid w:val="00E0094C"/>
    <w:rsid w:val="00E80B6B"/>
    <w:rsid w:val="00EA219E"/>
    <w:rsid w:val="00EC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2907"/>
  <w15:chartTrackingRefBased/>
  <w15:docId w15:val="{DC3A16D1-B743-4335-8FA5-1098BF6D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9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9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A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2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EA21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C49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92D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49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492D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3</cp:revision>
  <dcterms:created xsi:type="dcterms:W3CDTF">2026-08-06T15:40:00Z</dcterms:created>
  <dcterms:modified xsi:type="dcterms:W3CDTF">2026-08-07T13:16:00Z</dcterms:modified>
</cp:coreProperties>
</file>