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0E55" w14:textId="77777777" w:rsidR="00246E6A" w:rsidRPr="00246E6A" w:rsidRDefault="00246E6A" w:rsidP="00246E6A">
      <w:pPr>
        <w:jc w:val="center"/>
        <w:rPr>
          <w:rFonts w:ascii="Times New Roman" w:hAnsi="Times New Roman" w:cs="Times New Roman"/>
          <w:color w:val="000000" w:themeColor="text1"/>
          <w:sz w:val="52"/>
          <w:szCs w:val="52"/>
        </w:rPr>
      </w:pPr>
      <w:r w:rsidRPr="00246E6A">
        <w:rPr>
          <w:rFonts w:ascii="Times New Roman" w:hAnsi="Times New Roman" w:cs="Times New Roman"/>
          <w:b/>
          <w:color w:val="000000" w:themeColor="text1"/>
          <w:sz w:val="52"/>
          <w:szCs w:val="52"/>
        </w:rPr>
        <w:t xml:space="preserve">Tesla Stock Price Prediction </w:t>
      </w:r>
    </w:p>
    <w:p w14:paraId="264D82E9" w14:textId="77777777" w:rsidR="00246E6A" w:rsidRPr="00246E6A" w:rsidRDefault="00246E6A" w:rsidP="00246E6A">
      <w:pPr>
        <w:jc w:val="center"/>
        <w:rPr>
          <w:rFonts w:ascii="Times New Roman" w:hAnsi="Times New Roman" w:cs="Times New Roman"/>
          <w:color w:val="000000" w:themeColor="text1"/>
          <w:sz w:val="36"/>
          <w:szCs w:val="36"/>
        </w:rPr>
      </w:pPr>
      <w:r w:rsidRPr="00246E6A">
        <w:rPr>
          <w:rFonts w:ascii="Times New Roman" w:hAnsi="Times New Roman" w:cs="Times New Roman"/>
          <w:b/>
          <w:color w:val="000000" w:themeColor="text1"/>
          <w:sz w:val="36"/>
          <w:szCs w:val="36"/>
        </w:rPr>
        <w:t>Domain: Financial Services</w:t>
      </w:r>
    </w:p>
    <w:p w14:paraId="06A3E8AF" w14:textId="77777777" w:rsidR="00246E6A" w:rsidRPr="00246E6A" w:rsidRDefault="00246E6A" w:rsidP="00246E6A">
      <w:pPr>
        <w:pStyle w:val="Heading1"/>
        <w:rPr>
          <w:rFonts w:ascii="Times New Roman" w:hAnsi="Times New Roman" w:cs="Times New Roman"/>
          <w:b/>
          <w:bCs/>
          <w:color w:val="4472C4" w:themeColor="accent1"/>
          <w:sz w:val="32"/>
          <w:szCs w:val="32"/>
        </w:rPr>
      </w:pPr>
      <w:r w:rsidRPr="00246E6A">
        <w:rPr>
          <w:rFonts w:ascii="Times New Roman" w:hAnsi="Times New Roman" w:cs="Times New Roman"/>
          <w:b/>
          <w:bCs/>
          <w:color w:val="4472C4" w:themeColor="accent1"/>
          <w:sz w:val="32"/>
          <w:szCs w:val="32"/>
        </w:rPr>
        <w:t>Abstract</w:t>
      </w:r>
    </w:p>
    <w:p w14:paraId="5922325A"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Tesla Stock Price Prediction project is an end-to-end deep learning time-series analysis system designed to predict Tesla (TSLA) closing stock prices for 1-day, 5-day and 10-day horizons. The project compares SimpleRNN and LSTM architectures, evaluates their performance using MSE, RMSE, MAE and R², and tunes LSTM hyperparameters using GridSearchCV.</w:t>
      </w:r>
    </w:p>
    <w:p w14:paraId="0FF28A0E"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workflow covers data understanding, time-series-safe cleaning, exploratory data analysis, feature engineering, scaling without test leakage, sequence generation, deep learning model training, evaluation, hyperparameter tuning and NLP-based news sentiment exploration.</w:t>
      </w:r>
    </w:p>
    <w:p w14:paraId="66A6E904" w14:textId="77777777" w:rsidR="00246E6A" w:rsidRPr="00246E6A" w:rsidRDefault="00246E6A" w:rsidP="00246E6A">
      <w:pPr>
        <w:pStyle w:val="Heading1"/>
        <w:rPr>
          <w:rFonts w:ascii="Times New Roman" w:hAnsi="Times New Roman" w:cs="Times New Roman"/>
          <w:b/>
          <w:bCs/>
          <w:color w:val="4472C4" w:themeColor="accent1"/>
          <w:sz w:val="32"/>
          <w:szCs w:val="32"/>
        </w:rPr>
      </w:pPr>
      <w:r w:rsidRPr="00246E6A">
        <w:rPr>
          <w:rFonts w:ascii="Times New Roman" w:hAnsi="Times New Roman" w:cs="Times New Roman"/>
          <w:b/>
          <w:bCs/>
          <w:color w:val="4472C4" w:themeColor="accent1"/>
          <w:sz w:val="32"/>
          <w:szCs w:val="32"/>
        </w:rPr>
        <w:t>1. Introduction</w:t>
      </w:r>
    </w:p>
    <w:p w14:paraId="2C46258E"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Stock prices are sequential observations in which the order of historical values matters. Recurrent neural networks are therefore suitable candidates for learning temporal patterns. This project focuses on Tesla's historical closing price and compares a basic SimpleRNN architecture with an LSTM architecture designed to retain longer-term dependencies.</w:t>
      </w:r>
    </w:p>
    <w:p w14:paraId="1A1B9008"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project also demonstrates an NLP extension using a small set of Tesla-related news headlines and VADER sentiment scoring. This extension is exploratory and is not used as an input feature in the final price models.</w:t>
      </w:r>
    </w:p>
    <w:p w14:paraId="2E713569" w14:textId="77777777" w:rsidR="00246E6A" w:rsidRPr="00246E6A" w:rsidRDefault="00246E6A" w:rsidP="00246E6A">
      <w:pPr>
        <w:pStyle w:val="Heading1"/>
        <w:rPr>
          <w:rFonts w:ascii="Times New Roman" w:hAnsi="Times New Roman" w:cs="Times New Roman"/>
          <w:b/>
          <w:bCs/>
          <w:color w:val="000000" w:themeColor="text1"/>
          <w:sz w:val="32"/>
          <w:szCs w:val="32"/>
        </w:rPr>
      </w:pPr>
      <w:r w:rsidRPr="00246E6A">
        <w:rPr>
          <w:rFonts w:ascii="Times New Roman" w:hAnsi="Times New Roman" w:cs="Times New Roman"/>
          <w:b/>
          <w:bCs/>
          <w:color w:val="4472C4" w:themeColor="accent1"/>
          <w:sz w:val="32"/>
          <w:szCs w:val="32"/>
        </w:rPr>
        <w:t>2</w:t>
      </w:r>
      <w:r w:rsidRPr="00246E6A">
        <w:rPr>
          <w:rFonts w:ascii="Times New Roman" w:hAnsi="Times New Roman" w:cs="Times New Roman"/>
          <w:b/>
          <w:bCs/>
          <w:color w:val="4472C4" w:themeColor="accent1"/>
          <w:sz w:val="24"/>
          <w:szCs w:val="24"/>
        </w:rPr>
        <w:t xml:space="preserve">. </w:t>
      </w:r>
      <w:r w:rsidRPr="00246E6A">
        <w:rPr>
          <w:rFonts w:ascii="Times New Roman" w:hAnsi="Times New Roman" w:cs="Times New Roman"/>
          <w:b/>
          <w:bCs/>
          <w:color w:val="4472C4" w:themeColor="accent1"/>
          <w:sz w:val="32"/>
          <w:szCs w:val="32"/>
        </w:rPr>
        <w:t>Problem Statement</w:t>
      </w:r>
    </w:p>
    <w:p w14:paraId="481AC0F4"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Develop deep learning models (SimpleRNN and LSTM) to predict Tesla's closing stock price 1-day, 5-day and 10-day ahead, and compare their performance.</w:t>
      </w:r>
    </w:p>
    <w:p w14:paraId="4569393E"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Analyze and preprocess Tesla stock price data.</w:t>
      </w:r>
    </w:p>
    <w:p w14:paraId="70C5C8E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Perform exploratory data analysis and visualization.</w:t>
      </w:r>
    </w:p>
    <w:p w14:paraId="6EB832E8"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Build SimpleRNN and LSTM models.</w:t>
      </w:r>
    </w:p>
    <w:p w14:paraId="2B85E019"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Predict 1-day, 5-day and 10-day stock prices.</w:t>
      </w:r>
    </w:p>
    <w:p w14:paraId="49F2F5A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Evaluate models using MSE, RMSE, MAE and R².</w:t>
      </w:r>
    </w:p>
    <w:p w14:paraId="08C5CD1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Tune LSTM hyperparameters using GridSearchCV.</w:t>
      </w:r>
    </w:p>
    <w:p w14:paraId="275A06FC"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Compare SimpleRNN and LSTM performance.</w:t>
      </w:r>
    </w:p>
    <w:p w14:paraId="43CAAF4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Analyze limitations and future improvements.</w:t>
      </w:r>
    </w:p>
    <w:p w14:paraId="51B37722" w14:textId="77777777" w:rsidR="00246E6A" w:rsidRPr="00246E6A" w:rsidRDefault="00246E6A" w:rsidP="00246E6A">
      <w:pPr>
        <w:pStyle w:val="Heading1"/>
        <w:rPr>
          <w:rFonts w:ascii="Times New Roman" w:hAnsi="Times New Roman" w:cs="Times New Roman"/>
          <w:b/>
          <w:bCs/>
          <w:color w:val="4472C4" w:themeColor="accent1"/>
          <w:sz w:val="32"/>
          <w:szCs w:val="32"/>
        </w:rPr>
      </w:pPr>
      <w:r w:rsidRPr="00246E6A">
        <w:rPr>
          <w:rFonts w:ascii="Times New Roman" w:hAnsi="Times New Roman" w:cs="Times New Roman"/>
          <w:b/>
          <w:bCs/>
          <w:color w:val="4472C4" w:themeColor="accent1"/>
          <w:sz w:val="32"/>
          <w:szCs w:val="32"/>
        </w:rPr>
        <w:t>3. Scope of the Project</w:t>
      </w:r>
    </w:p>
    <w:p w14:paraId="6CEE379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Historical Tesla stock-price time series.</w:t>
      </w:r>
    </w:p>
    <w:p w14:paraId="09D8108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Closing/Adjusted Closing price-based sequence modeling.</w:t>
      </w:r>
    </w:p>
    <w:p w14:paraId="40FDB439"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lastRenderedPageBreak/>
        <w:t>Three forecast horizons: 1, 5 and 10 trading days.</w:t>
      </w:r>
    </w:p>
    <w:p w14:paraId="5FF7D19C"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Two deep learning architectures: SimpleRNN and LSTM.</w:t>
      </w:r>
    </w:p>
    <w:p w14:paraId="413144E2"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Model comparison and hyperparameter optimization.</w:t>
      </w:r>
    </w:p>
    <w:p w14:paraId="1A2C6B92"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Exploratory news sentiment analysis as an NLP extension.</w:t>
      </w:r>
    </w:p>
    <w:p w14:paraId="35276EDF" w14:textId="77777777" w:rsidR="00246E6A" w:rsidRPr="00246E6A" w:rsidRDefault="00246E6A" w:rsidP="00246E6A">
      <w:pPr>
        <w:pStyle w:val="Heading1"/>
        <w:rPr>
          <w:rFonts w:ascii="Times New Roman" w:hAnsi="Times New Roman" w:cs="Times New Roman"/>
          <w:b/>
          <w:bCs/>
          <w:color w:val="4472C4" w:themeColor="accent1"/>
          <w:sz w:val="32"/>
          <w:szCs w:val="32"/>
        </w:rPr>
      </w:pPr>
      <w:r w:rsidRPr="00246E6A">
        <w:rPr>
          <w:rFonts w:ascii="Times New Roman" w:hAnsi="Times New Roman" w:cs="Times New Roman"/>
          <w:b/>
          <w:bCs/>
          <w:color w:val="4472C4" w:themeColor="accent1"/>
          <w:sz w:val="32"/>
          <w:szCs w:val="32"/>
        </w:rPr>
        <w:t>4. Dataset Description</w:t>
      </w:r>
    </w:p>
    <w:p w14:paraId="44D528A5"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supplied TSLA.csv contains 2,416 observations and 7 columns. The dataset spans from 2010-06-29 to 2020-02-03 in the supplied file.</w:t>
      </w:r>
    </w:p>
    <w:tbl>
      <w:tblPr>
        <w:tblStyle w:val="TableGrid"/>
        <w:tblW w:w="0" w:type="auto"/>
        <w:tblLook w:val="04A0" w:firstRow="1" w:lastRow="0" w:firstColumn="1" w:lastColumn="0" w:noHBand="0" w:noVBand="1"/>
      </w:tblPr>
      <w:tblGrid>
        <w:gridCol w:w="5035"/>
        <w:gridCol w:w="5035"/>
      </w:tblGrid>
      <w:tr w:rsidR="00246E6A" w:rsidRPr="00246E6A" w14:paraId="5C8F9096" w14:textId="77777777" w:rsidTr="00283A2F">
        <w:tc>
          <w:tcPr>
            <w:tcW w:w="5040" w:type="dxa"/>
          </w:tcPr>
          <w:p w14:paraId="40850E4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Column</w:t>
            </w:r>
          </w:p>
        </w:tc>
        <w:tc>
          <w:tcPr>
            <w:tcW w:w="5040" w:type="dxa"/>
          </w:tcPr>
          <w:p w14:paraId="4B82309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Description</w:t>
            </w:r>
          </w:p>
        </w:tc>
      </w:tr>
      <w:tr w:rsidR="00246E6A" w:rsidRPr="00246E6A" w14:paraId="1B068201" w14:textId="77777777" w:rsidTr="00283A2F">
        <w:tc>
          <w:tcPr>
            <w:tcW w:w="5040" w:type="dxa"/>
          </w:tcPr>
          <w:p w14:paraId="0AAAA20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Date</w:t>
            </w:r>
          </w:p>
        </w:tc>
        <w:tc>
          <w:tcPr>
            <w:tcW w:w="5040" w:type="dxa"/>
          </w:tcPr>
          <w:p w14:paraId="4F16068F"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Trading date</w:t>
            </w:r>
          </w:p>
        </w:tc>
      </w:tr>
      <w:tr w:rsidR="00246E6A" w:rsidRPr="00246E6A" w14:paraId="10686999" w14:textId="77777777" w:rsidTr="00283A2F">
        <w:tc>
          <w:tcPr>
            <w:tcW w:w="5040" w:type="dxa"/>
          </w:tcPr>
          <w:p w14:paraId="63B622F9"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Open</w:t>
            </w:r>
          </w:p>
        </w:tc>
        <w:tc>
          <w:tcPr>
            <w:tcW w:w="5040" w:type="dxa"/>
          </w:tcPr>
          <w:p w14:paraId="5D6896A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Opening price</w:t>
            </w:r>
          </w:p>
        </w:tc>
      </w:tr>
      <w:tr w:rsidR="00246E6A" w:rsidRPr="00246E6A" w14:paraId="17510227" w14:textId="77777777" w:rsidTr="00283A2F">
        <w:tc>
          <w:tcPr>
            <w:tcW w:w="5040" w:type="dxa"/>
          </w:tcPr>
          <w:p w14:paraId="10A7DFC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High</w:t>
            </w:r>
          </w:p>
        </w:tc>
        <w:tc>
          <w:tcPr>
            <w:tcW w:w="5040" w:type="dxa"/>
          </w:tcPr>
          <w:p w14:paraId="133FF2C4"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Highest price</w:t>
            </w:r>
          </w:p>
        </w:tc>
      </w:tr>
      <w:tr w:rsidR="00246E6A" w:rsidRPr="00246E6A" w14:paraId="6C56F9CC" w14:textId="77777777" w:rsidTr="00283A2F">
        <w:tc>
          <w:tcPr>
            <w:tcW w:w="5040" w:type="dxa"/>
          </w:tcPr>
          <w:p w14:paraId="19CC477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Low</w:t>
            </w:r>
          </w:p>
        </w:tc>
        <w:tc>
          <w:tcPr>
            <w:tcW w:w="5040" w:type="dxa"/>
          </w:tcPr>
          <w:p w14:paraId="4CDD998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Lowest price</w:t>
            </w:r>
          </w:p>
        </w:tc>
      </w:tr>
      <w:tr w:rsidR="00246E6A" w:rsidRPr="00246E6A" w14:paraId="4759E083" w14:textId="77777777" w:rsidTr="00283A2F">
        <w:tc>
          <w:tcPr>
            <w:tcW w:w="5040" w:type="dxa"/>
          </w:tcPr>
          <w:p w14:paraId="5FBA04B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Close</w:t>
            </w:r>
          </w:p>
        </w:tc>
        <w:tc>
          <w:tcPr>
            <w:tcW w:w="5040" w:type="dxa"/>
          </w:tcPr>
          <w:p w14:paraId="7E52BE4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Closing price</w:t>
            </w:r>
          </w:p>
        </w:tc>
      </w:tr>
      <w:tr w:rsidR="00246E6A" w:rsidRPr="00246E6A" w14:paraId="58E5281F" w14:textId="77777777" w:rsidTr="00283A2F">
        <w:tc>
          <w:tcPr>
            <w:tcW w:w="5040" w:type="dxa"/>
          </w:tcPr>
          <w:p w14:paraId="5E06E93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Adj Close</w:t>
            </w:r>
          </w:p>
        </w:tc>
        <w:tc>
          <w:tcPr>
            <w:tcW w:w="5040" w:type="dxa"/>
          </w:tcPr>
          <w:p w14:paraId="4A2DC4D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Adjusted closing price used for model target</w:t>
            </w:r>
          </w:p>
        </w:tc>
      </w:tr>
      <w:tr w:rsidR="00246E6A" w:rsidRPr="00246E6A" w14:paraId="0F1DF8A1" w14:textId="77777777" w:rsidTr="00283A2F">
        <w:tc>
          <w:tcPr>
            <w:tcW w:w="5040" w:type="dxa"/>
          </w:tcPr>
          <w:p w14:paraId="6A411A0E"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Volume</w:t>
            </w:r>
          </w:p>
        </w:tc>
        <w:tc>
          <w:tcPr>
            <w:tcW w:w="5040" w:type="dxa"/>
          </w:tcPr>
          <w:p w14:paraId="5E918165"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Trading volume</w:t>
            </w:r>
          </w:p>
        </w:tc>
      </w:tr>
    </w:tbl>
    <w:p w14:paraId="0BD7F269"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Dataset shape: 2,416 rows × 7 columns.</w:t>
      </w:r>
    </w:p>
    <w:p w14:paraId="767B6947"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5. Data Cleaning</w:t>
      </w:r>
    </w:p>
    <w:p w14:paraId="7782BF67"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Checked missing values across all columns.</w:t>
      </w:r>
    </w:p>
    <w:p w14:paraId="6DF5C0EF"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Checked duplicate records.</w:t>
      </w:r>
    </w:p>
    <w:p w14:paraId="07F78E08"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Converted Date from object to datetime.</w:t>
      </w:r>
    </w:p>
    <w:p w14:paraId="3F109077"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Sorted observations chronologically and set Date as the index.</w:t>
      </w:r>
    </w:p>
    <w:p w14:paraId="7982EA9C"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Result: the supplied raw dataset contains no missing values and no duplicate records.</w:t>
      </w:r>
    </w:p>
    <w:p w14:paraId="2E6F6A85"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For time-series missing values, a forward-fill plus interpolation strategy was demonstrated on a simulated copy. This avoids randomly shuffling or dropping temporal observations and provides a practical way to repair isolated gaps.</w:t>
      </w:r>
    </w:p>
    <w:p w14:paraId="03562FEF"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6. Exploratory Data Analysis</w:t>
      </w:r>
    </w:p>
    <w:p w14:paraId="1C799F78"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Closing-price trend was visualized over time.</w:t>
      </w:r>
    </w:p>
    <w:p w14:paraId="00E7888D"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Trading volume was visualized to understand activity changes.</w:t>
      </w:r>
    </w:p>
    <w:p w14:paraId="4D6E476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7-day, 30-day and 100-day moving averages were calculated.</w:t>
      </w:r>
    </w:p>
    <w:p w14:paraId="1AB67E36"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Daily percentage returns were calculated as a simple volatility indicator.</w:t>
      </w:r>
    </w:p>
    <w:p w14:paraId="66148E3E"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Histograms, correlation heatmap and boxplots were used for distribution and relationship analysis.</w:t>
      </w:r>
    </w:p>
    <w:p w14:paraId="3DA1DC4E"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lastRenderedPageBreak/>
        <w:t>The EDA shows strong long-term price movement and periods of elevated volatility, including the sharp price movement near the end of the supplied sample.</w:t>
      </w:r>
    </w:p>
    <w:p w14:paraId="058D78E0"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7. Feature Engineering &amp; Target Selection</w:t>
      </w:r>
    </w:p>
    <w:p w14:paraId="1F62E95E"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modeling target is Adj Close. A single-variable sequence approach was selected so that the project directly addresses the requested closing-price forecasting task.</w:t>
      </w:r>
    </w:p>
    <w:p w14:paraId="309F7345"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Target feature: Adj Close</w:t>
      </w:r>
    </w:p>
    <w:p w14:paraId="7015F9C7"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Sequence window: previous 60 observations</w:t>
      </w:r>
    </w:p>
    <w:p w14:paraId="161C2DB9"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Forecast horizons: 1, 5 and 10 days</w:t>
      </w:r>
    </w:p>
    <w:p w14:paraId="5212D15F"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Daily return and moving-average features were created for EDA/analysis; they were not included in the final univariate neural-network input.</w:t>
      </w:r>
    </w:p>
    <w:p w14:paraId="36F70812"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8. Data Scaling &amp; Time-Series Split</w:t>
      </w:r>
    </w:p>
    <w:p w14:paraId="3DFD7D38"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An 80/20 chronological split was used. The first 1,932 observations were used for training and the final 484 observations were held out for testing. MinMaxScaler was fitted only on the training data and then applied to both train and test data.</w:t>
      </w:r>
    </w:p>
    <w:tbl>
      <w:tblPr>
        <w:tblStyle w:val="TableGrid"/>
        <w:tblW w:w="0" w:type="auto"/>
        <w:tblLook w:val="04A0" w:firstRow="1" w:lastRow="0" w:firstColumn="1" w:lastColumn="0" w:noHBand="0" w:noVBand="1"/>
      </w:tblPr>
      <w:tblGrid>
        <w:gridCol w:w="5035"/>
        <w:gridCol w:w="5035"/>
      </w:tblGrid>
      <w:tr w:rsidR="00246E6A" w:rsidRPr="00246E6A" w14:paraId="0C2C416D" w14:textId="77777777" w:rsidTr="00283A2F">
        <w:tc>
          <w:tcPr>
            <w:tcW w:w="5040" w:type="dxa"/>
          </w:tcPr>
          <w:p w14:paraId="40B9AFA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Item</w:t>
            </w:r>
          </w:p>
        </w:tc>
        <w:tc>
          <w:tcPr>
            <w:tcW w:w="5040" w:type="dxa"/>
          </w:tcPr>
          <w:p w14:paraId="2E94592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Value</w:t>
            </w:r>
          </w:p>
        </w:tc>
      </w:tr>
      <w:tr w:rsidR="00246E6A" w:rsidRPr="00246E6A" w14:paraId="2617C7F2" w14:textId="77777777" w:rsidTr="00283A2F">
        <w:tc>
          <w:tcPr>
            <w:tcW w:w="5040" w:type="dxa"/>
          </w:tcPr>
          <w:p w14:paraId="18D69E6F"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Split ratio</w:t>
            </w:r>
          </w:p>
        </w:tc>
        <w:tc>
          <w:tcPr>
            <w:tcW w:w="5040" w:type="dxa"/>
          </w:tcPr>
          <w:p w14:paraId="7C88C5C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80% train / 20% test</w:t>
            </w:r>
          </w:p>
        </w:tc>
      </w:tr>
      <w:tr w:rsidR="00246E6A" w:rsidRPr="00246E6A" w14:paraId="477B6A2E" w14:textId="77777777" w:rsidTr="00283A2F">
        <w:tc>
          <w:tcPr>
            <w:tcW w:w="5040" w:type="dxa"/>
          </w:tcPr>
          <w:p w14:paraId="795E5D5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Train observations</w:t>
            </w:r>
          </w:p>
        </w:tc>
        <w:tc>
          <w:tcPr>
            <w:tcW w:w="5040" w:type="dxa"/>
          </w:tcPr>
          <w:p w14:paraId="3430997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1,932</w:t>
            </w:r>
          </w:p>
        </w:tc>
      </w:tr>
      <w:tr w:rsidR="00246E6A" w:rsidRPr="00246E6A" w14:paraId="4CBF924E" w14:textId="77777777" w:rsidTr="00283A2F">
        <w:tc>
          <w:tcPr>
            <w:tcW w:w="5040" w:type="dxa"/>
          </w:tcPr>
          <w:p w14:paraId="64A5304A"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Test observations</w:t>
            </w:r>
          </w:p>
        </w:tc>
        <w:tc>
          <w:tcPr>
            <w:tcW w:w="5040" w:type="dxa"/>
          </w:tcPr>
          <w:p w14:paraId="303A6EF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484</w:t>
            </w:r>
          </w:p>
        </w:tc>
      </w:tr>
      <w:tr w:rsidR="00246E6A" w:rsidRPr="00246E6A" w14:paraId="33E78CFE" w14:textId="77777777" w:rsidTr="00283A2F">
        <w:tc>
          <w:tcPr>
            <w:tcW w:w="5040" w:type="dxa"/>
          </w:tcPr>
          <w:p w14:paraId="6C5CAA5A"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Scaling</w:t>
            </w:r>
          </w:p>
        </w:tc>
        <w:tc>
          <w:tcPr>
            <w:tcW w:w="5040" w:type="dxa"/>
          </w:tcPr>
          <w:p w14:paraId="3A002DBD"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MinMaxScaler (0–1)</w:t>
            </w:r>
          </w:p>
        </w:tc>
      </w:tr>
      <w:tr w:rsidR="00246E6A" w:rsidRPr="00246E6A" w14:paraId="0C4E2B61" w14:textId="77777777" w:rsidTr="00283A2F">
        <w:tc>
          <w:tcPr>
            <w:tcW w:w="5040" w:type="dxa"/>
          </w:tcPr>
          <w:p w14:paraId="5518C43D"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Sequence window</w:t>
            </w:r>
          </w:p>
        </w:tc>
        <w:tc>
          <w:tcPr>
            <w:tcW w:w="5040" w:type="dxa"/>
          </w:tcPr>
          <w:p w14:paraId="322D3B71"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60 trading observations</w:t>
            </w:r>
          </w:p>
        </w:tc>
      </w:tr>
    </w:tbl>
    <w:p w14:paraId="2DE2ED19"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Fitting the scaler only on training data prevents information from the held-out test period from influencing preprocessing.</w:t>
      </w:r>
    </w:p>
    <w:p w14:paraId="75AEAF25"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9. Time-Series Sequence Creation</w:t>
      </w:r>
    </w:p>
    <w:tbl>
      <w:tblPr>
        <w:tblStyle w:val="TableGrid"/>
        <w:tblW w:w="0" w:type="auto"/>
        <w:tblLook w:val="04A0" w:firstRow="1" w:lastRow="0" w:firstColumn="1" w:lastColumn="0" w:noHBand="0" w:noVBand="1"/>
      </w:tblPr>
      <w:tblGrid>
        <w:gridCol w:w="3357"/>
        <w:gridCol w:w="3357"/>
        <w:gridCol w:w="3356"/>
      </w:tblGrid>
      <w:tr w:rsidR="00246E6A" w:rsidRPr="00246E6A" w14:paraId="4A10CD9B" w14:textId="77777777" w:rsidTr="00283A2F">
        <w:tc>
          <w:tcPr>
            <w:tcW w:w="3360" w:type="dxa"/>
          </w:tcPr>
          <w:p w14:paraId="49822131"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Forecast Horizon</w:t>
            </w:r>
          </w:p>
        </w:tc>
        <w:tc>
          <w:tcPr>
            <w:tcW w:w="3360" w:type="dxa"/>
          </w:tcPr>
          <w:p w14:paraId="20402D4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Training Shape</w:t>
            </w:r>
          </w:p>
        </w:tc>
        <w:tc>
          <w:tcPr>
            <w:tcW w:w="3360" w:type="dxa"/>
          </w:tcPr>
          <w:p w14:paraId="59165D94"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Test Shape</w:t>
            </w:r>
          </w:p>
        </w:tc>
      </w:tr>
      <w:tr w:rsidR="00246E6A" w:rsidRPr="00246E6A" w14:paraId="3BBB6A7C" w14:textId="77777777" w:rsidTr="00283A2F">
        <w:tc>
          <w:tcPr>
            <w:tcW w:w="3360" w:type="dxa"/>
          </w:tcPr>
          <w:p w14:paraId="01ACA12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 day</w:t>
            </w:r>
          </w:p>
        </w:tc>
        <w:tc>
          <w:tcPr>
            <w:tcW w:w="3360" w:type="dxa"/>
          </w:tcPr>
          <w:p w14:paraId="56AF39F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(1872, 60, 1)</w:t>
            </w:r>
          </w:p>
        </w:tc>
        <w:tc>
          <w:tcPr>
            <w:tcW w:w="3360" w:type="dxa"/>
          </w:tcPr>
          <w:p w14:paraId="1B4EDE8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(484, 60, 1)</w:t>
            </w:r>
          </w:p>
        </w:tc>
      </w:tr>
      <w:tr w:rsidR="00246E6A" w:rsidRPr="00246E6A" w14:paraId="21E21C5A" w14:textId="77777777" w:rsidTr="00283A2F">
        <w:tc>
          <w:tcPr>
            <w:tcW w:w="3360" w:type="dxa"/>
          </w:tcPr>
          <w:p w14:paraId="1FF0EC8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 days</w:t>
            </w:r>
          </w:p>
        </w:tc>
        <w:tc>
          <w:tcPr>
            <w:tcW w:w="3360" w:type="dxa"/>
          </w:tcPr>
          <w:p w14:paraId="78AF4DA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(1872, 60, 1)</w:t>
            </w:r>
          </w:p>
        </w:tc>
        <w:tc>
          <w:tcPr>
            <w:tcW w:w="3360" w:type="dxa"/>
          </w:tcPr>
          <w:p w14:paraId="78424871"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(480, 60, 1)</w:t>
            </w:r>
          </w:p>
        </w:tc>
      </w:tr>
      <w:tr w:rsidR="00246E6A" w:rsidRPr="00246E6A" w14:paraId="27EFB6CD" w14:textId="77777777" w:rsidTr="00283A2F">
        <w:tc>
          <w:tcPr>
            <w:tcW w:w="3360" w:type="dxa"/>
          </w:tcPr>
          <w:p w14:paraId="7A66619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10 days</w:t>
            </w:r>
          </w:p>
        </w:tc>
        <w:tc>
          <w:tcPr>
            <w:tcW w:w="3360" w:type="dxa"/>
          </w:tcPr>
          <w:p w14:paraId="44B9CC5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(1872, 60, 1)</w:t>
            </w:r>
          </w:p>
        </w:tc>
        <w:tc>
          <w:tcPr>
            <w:tcW w:w="3360" w:type="dxa"/>
          </w:tcPr>
          <w:p w14:paraId="26E12FB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(475, 60, 1)</w:t>
            </w:r>
          </w:p>
        </w:tc>
      </w:tr>
    </w:tbl>
    <w:p w14:paraId="3244A8F8"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Each input contains 60 consecutive scaled price observations and the target is the closing price at the requested future horizon.</w:t>
      </w:r>
    </w:p>
    <w:p w14:paraId="0F130B69"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lastRenderedPageBreak/>
        <w:t>10. Model Architecture</w:t>
      </w:r>
    </w:p>
    <w:p w14:paraId="68A98266" w14:textId="77777777" w:rsidR="00246E6A" w:rsidRPr="00246E6A" w:rsidRDefault="00246E6A" w:rsidP="00246E6A">
      <w:pPr>
        <w:pStyle w:val="Heading2"/>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SimpleRNN</w:t>
      </w:r>
    </w:p>
    <w:p w14:paraId="49FC794B"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SimpleRNN: 64 units, return_sequences=True</w:t>
      </w:r>
    </w:p>
    <w:p w14:paraId="75C5FDD9"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Dropout: 0.20</w:t>
      </w:r>
    </w:p>
    <w:p w14:paraId="47A8523C"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SimpleRNN: 32 units</w:t>
      </w:r>
    </w:p>
    <w:p w14:paraId="1F67B0EC"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Dropout: 0.20</w:t>
      </w:r>
    </w:p>
    <w:p w14:paraId="67FB2181"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Dense: 1 output</w:t>
      </w:r>
    </w:p>
    <w:p w14:paraId="28412E8D"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Adam optimizer; learning rate 0.001</w:t>
      </w:r>
    </w:p>
    <w:p w14:paraId="67A3A525"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Loss: Mean Squared Error</w:t>
      </w:r>
    </w:p>
    <w:p w14:paraId="0C03790D"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Total parameters: 7,361.</w:t>
      </w:r>
    </w:p>
    <w:p w14:paraId="7C479DD1" w14:textId="77777777" w:rsidR="00246E6A" w:rsidRPr="00246E6A" w:rsidRDefault="00246E6A" w:rsidP="00246E6A">
      <w:pPr>
        <w:pStyle w:val="Heading2"/>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w:t>
      </w:r>
    </w:p>
    <w:p w14:paraId="627E60AC"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 64 units, return_sequences=True</w:t>
      </w:r>
    </w:p>
    <w:p w14:paraId="254F892B"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Dropout: 0.20</w:t>
      </w:r>
    </w:p>
    <w:p w14:paraId="774DF29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 32 units</w:t>
      </w:r>
    </w:p>
    <w:p w14:paraId="045F6425"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Dropout: 0.20</w:t>
      </w:r>
    </w:p>
    <w:p w14:paraId="5A918D39"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Dense: 1 output</w:t>
      </w:r>
    </w:p>
    <w:p w14:paraId="1CE39CE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Adam optimizer; learning rate 0.001</w:t>
      </w:r>
    </w:p>
    <w:p w14:paraId="6305F6B1"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Loss: Mean Squared Error</w:t>
      </w:r>
    </w:p>
    <w:p w14:paraId="76D5E2C7"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Total parameters: 29,345.</w:t>
      </w:r>
    </w:p>
    <w:p w14:paraId="0669DD83"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11. Model Training</w:t>
      </w:r>
    </w:p>
    <w:p w14:paraId="2663AFC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Six baseline models were trained: SimpleRNN and LSTM for each of the 1-, 5- and 10-day horizons.</w:t>
      </w:r>
    </w:p>
    <w:p w14:paraId="595A2553"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Maximum epochs: 50.</w:t>
      </w:r>
    </w:p>
    <w:p w14:paraId="7256D36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Batch size: 32.</w:t>
      </w:r>
    </w:p>
    <w:p w14:paraId="07F989C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 xml:space="preserve">EarlyStopping with patience 8 and </w:t>
      </w:r>
      <w:proofErr w:type="spellStart"/>
      <w:r w:rsidRPr="00246E6A">
        <w:rPr>
          <w:rFonts w:ascii="Times New Roman" w:hAnsi="Times New Roman" w:cs="Times New Roman"/>
          <w:color w:val="000000" w:themeColor="text1"/>
          <w:sz w:val="24"/>
          <w:szCs w:val="24"/>
        </w:rPr>
        <w:t>restore_best_weights</w:t>
      </w:r>
      <w:proofErr w:type="spellEnd"/>
      <w:r w:rsidRPr="00246E6A">
        <w:rPr>
          <w:rFonts w:ascii="Times New Roman" w:hAnsi="Times New Roman" w:cs="Times New Roman"/>
          <w:color w:val="000000" w:themeColor="text1"/>
          <w:sz w:val="24"/>
          <w:szCs w:val="24"/>
        </w:rPr>
        <w:t>=True.</w:t>
      </w:r>
    </w:p>
    <w:p w14:paraId="0B27BCA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ModelCheckpoint was used to save the best validation-loss model.</w:t>
      </w:r>
    </w:p>
    <w:p w14:paraId="0E7D74AB"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training process used a validation portion of the training data while keeping the final test period held out.</w:t>
      </w:r>
    </w:p>
    <w:p w14:paraId="7DF16C5B" w14:textId="77777777" w:rsidR="00246E6A" w:rsidRPr="00246E6A" w:rsidRDefault="00246E6A" w:rsidP="00246E6A">
      <w:pPr>
        <w:pStyle w:val="Heading1"/>
        <w:rPr>
          <w:rFonts w:ascii="Times New Roman" w:hAnsi="Times New Roman" w:cs="Times New Roman"/>
          <w:color w:val="000000" w:themeColor="text1"/>
          <w:sz w:val="24"/>
          <w:szCs w:val="24"/>
        </w:rPr>
      </w:pPr>
      <w:r w:rsidRPr="00246E6A">
        <w:rPr>
          <w:rFonts w:ascii="Times New Roman" w:hAnsi="Times New Roman" w:cs="Times New Roman"/>
          <w:color w:val="4472C4" w:themeColor="accent1"/>
          <w:sz w:val="32"/>
          <w:szCs w:val="32"/>
        </w:rPr>
        <w:t>12. Model Evaluation</w:t>
      </w:r>
    </w:p>
    <w:p w14:paraId="31D6CDA7"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models were evaluated after inverse-transforming predictions back to the original price scale.</w:t>
      </w:r>
    </w:p>
    <w:tbl>
      <w:tblPr>
        <w:tblStyle w:val="TableGrid"/>
        <w:tblW w:w="0" w:type="auto"/>
        <w:tblLook w:val="04A0" w:firstRow="1" w:lastRow="0" w:firstColumn="1" w:lastColumn="0" w:noHBand="0" w:noVBand="1"/>
      </w:tblPr>
      <w:tblGrid>
        <w:gridCol w:w="1679"/>
        <w:gridCol w:w="1678"/>
        <w:gridCol w:w="1679"/>
        <w:gridCol w:w="1678"/>
        <w:gridCol w:w="1678"/>
        <w:gridCol w:w="1678"/>
      </w:tblGrid>
      <w:tr w:rsidR="00246E6A" w:rsidRPr="00246E6A" w14:paraId="3492797A" w14:textId="77777777" w:rsidTr="00283A2F">
        <w:tc>
          <w:tcPr>
            <w:tcW w:w="1680" w:type="dxa"/>
          </w:tcPr>
          <w:p w14:paraId="189C5D6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Model</w:t>
            </w:r>
          </w:p>
        </w:tc>
        <w:tc>
          <w:tcPr>
            <w:tcW w:w="1680" w:type="dxa"/>
          </w:tcPr>
          <w:p w14:paraId="41B81B2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Horizon</w:t>
            </w:r>
          </w:p>
        </w:tc>
        <w:tc>
          <w:tcPr>
            <w:tcW w:w="1680" w:type="dxa"/>
          </w:tcPr>
          <w:p w14:paraId="4EF7504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MSE</w:t>
            </w:r>
          </w:p>
        </w:tc>
        <w:tc>
          <w:tcPr>
            <w:tcW w:w="1680" w:type="dxa"/>
          </w:tcPr>
          <w:p w14:paraId="00CED5B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RMSE</w:t>
            </w:r>
          </w:p>
        </w:tc>
        <w:tc>
          <w:tcPr>
            <w:tcW w:w="1680" w:type="dxa"/>
          </w:tcPr>
          <w:p w14:paraId="19E86F05"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MAE</w:t>
            </w:r>
          </w:p>
        </w:tc>
        <w:tc>
          <w:tcPr>
            <w:tcW w:w="1680" w:type="dxa"/>
          </w:tcPr>
          <w:p w14:paraId="04F7E17F"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R²</w:t>
            </w:r>
          </w:p>
        </w:tc>
      </w:tr>
      <w:tr w:rsidR="00246E6A" w:rsidRPr="00246E6A" w14:paraId="565EE0BC" w14:textId="77777777" w:rsidTr="00283A2F">
        <w:tc>
          <w:tcPr>
            <w:tcW w:w="1680" w:type="dxa"/>
          </w:tcPr>
          <w:p w14:paraId="724AFF3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w:t>
            </w:r>
          </w:p>
        </w:tc>
        <w:tc>
          <w:tcPr>
            <w:tcW w:w="1680" w:type="dxa"/>
          </w:tcPr>
          <w:p w14:paraId="422DEAE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 day</w:t>
            </w:r>
          </w:p>
        </w:tc>
        <w:tc>
          <w:tcPr>
            <w:tcW w:w="1680" w:type="dxa"/>
          </w:tcPr>
          <w:p w14:paraId="7698D91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596.7418</w:t>
            </w:r>
          </w:p>
        </w:tc>
        <w:tc>
          <w:tcPr>
            <w:tcW w:w="1680" w:type="dxa"/>
          </w:tcPr>
          <w:p w14:paraId="60CDEE6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24.4283</w:t>
            </w:r>
          </w:p>
        </w:tc>
        <w:tc>
          <w:tcPr>
            <w:tcW w:w="1680" w:type="dxa"/>
          </w:tcPr>
          <w:p w14:paraId="57408AC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16.5070</w:t>
            </w:r>
          </w:p>
        </w:tc>
        <w:tc>
          <w:tcPr>
            <w:tcW w:w="1680" w:type="dxa"/>
          </w:tcPr>
          <w:p w14:paraId="6218396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0.8843</w:t>
            </w:r>
          </w:p>
        </w:tc>
      </w:tr>
      <w:tr w:rsidR="00246E6A" w:rsidRPr="00246E6A" w14:paraId="6D11431D" w14:textId="77777777" w:rsidTr="00283A2F">
        <w:tc>
          <w:tcPr>
            <w:tcW w:w="1680" w:type="dxa"/>
          </w:tcPr>
          <w:p w14:paraId="10E06E9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SimpleRNN</w:t>
            </w:r>
          </w:p>
        </w:tc>
        <w:tc>
          <w:tcPr>
            <w:tcW w:w="1680" w:type="dxa"/>
          </w:tcPr>
          <w:p w14:paraId="0CFFEFC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 day</w:t>
            </w:r>
          </w:p>
        </w:tc>
        <w:tc>
          <w:tcPr>
            <w:tcW w:w="1680" w:type="dxa"/>
          </w:tcPr>
          <w:p w14:paraId="519E530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972.3267</w:t>
            </w:r>
          </w:p>
        </w:tc>
        <w:tc>
          <w:tcPr>
            <w:tcW w:w="1680" w:type="dxa"/>
          </w:tcPr>
          <w:p w14:paraId="41E2F93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31.1822</w:t>
            </w:r>
          </w:p>
        </w:tc>
        <w:tc>
          <w:tcPr>
            <w:tcW w:w="1680" w:type="dxa"/>
          </w:tcPr>
          <w:p w14:paraId="3B7ED6F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17.8164</w:t>
            </w:r>
          </w:p>
        </w:tc>
        <w:tc>
          <w:tcPr>
            <w:tcW w:w="1680" w:type="dxa"/>
          </w:tcPr>
          <w:p w14:paraId="0C09BFD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0.8115</w:t>
            </w:r>
          </w:p>
        </w:tc>
      </w:tr>
      <w:tr w:rsidR="00246E6A" w:rsidRPr="00246E6A" w14:paraId="3723844D" w14:textId="77777777" w:rsidTr="00283A2F">
        <w:tc>
          <w:tcPr>
            <w:tcW w:w="1680" w:type="dxa"/>
          </w:tcPr>
          <w:p w14:paraId="4A48AF9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w:t>
            </w:r>
          </w:p>
        </w:tc>
        <w:tc>
          <w:tcPr>
            <w:tcW w:w="1680" w:type="dxa"/>
          </w:tcPr>
          <w:p w14:paraId="6184F7AA"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 days</w:t>
            </w:r>
          </w:p>
        </w:tc>
        <w:tc>
          <w:tcPr>
            <w:tcW w:w="1680" w:type="dxa"/>
          </w:tcPr>
          <w:p w14:paraId="451E1D5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1320.4959</w:t>
            </w:r>
          </w:p>
        </w:tc>
        <w:tc>
          <w:tcPr>
            <w:tcW w:w="1680" w:type="dxa"/>
          </w:tcPr>
          <w:p w14:paraId="2F591BC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36.3386</w:t>
            </w:r>
          </w:p>
        </w:tc>
        <w:tc>
          <w:tcPr>
            <w:tcW w:w="1680" w:type="dxa"/>
          </w:tcPr>
          <w:p w14:paraId="088B747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24.9323</w:t>
            </w:r>
          </w:p>
        </w:tc>
        <w:tc>
          <w:tcPr>
            <w:tcW w:w="1680" w:type="dxa"/>
          </w:tcPr>
          <w:p w14:paraId="68FFC48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0.7458</w:t>
            </w:r>
          </w:p>
        </w:tc>
      </w:tr>
      <w:tr w:rsidR="00246E6A" w:rsidRPr="00246E6A" w14:paraId="69E18DF7" w14:textId="77777777" w:rsidTr="00283A2F">
        <w:tc>
          <w:tcPr>
            <w:tcW w:w="1680" w:type="dxa"/>
          </w:tcPr>
          <w:p w14:paraId="6897513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lastRenderedPageBreak/>
              <w:t>SimpleRNN</w:t>
            </w:r>
          </w:p>
        </w:tc>
        <w:tc>
          <w:tcPr>
            <w:tcW w:w="1680" w:type="dxa"/>
          </w:tcPr>
          <w:p w14:paraId="1013A39E"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 days</w:t>
            </w:r>
          </w:p>
        </w:tc>
        <w:tc>
          <w:tcPr>
            <w:tcW w:w="1680" w:type="dxa"/>
          </w:tcPr>
          <w:p w14:paraId="5C78A8CE"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1138.7493</w:t>
            </w:r>
          </w:p>
        </w:tc>
        <w:tc>
          <w:tcPr>
            <w:tcW w:w="1680" w:type="dxa"/>
          </w:tcPr>
          <w:p w14:paraId="1BF0E0D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33.7454</w:t>
            </w:r>
          </w:p>
        </w:tc>
        <w:tc>
          <w:tcPr>
            <w:tcW w:w="1680" w:type="dxa"/>
          </w:tcPr>
          <w:p w14:paraId="02EDA70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23.8595</w:t>
            </w:r>
          </w:p>
        </w:tc>
        <w:tc>
          <w:tcPr>
            <w:tcW w:w="1680" w:type="dxa"/>
          </w:tcPr>
          <w:p w14:paraId="722E00C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0.7808</w:t>
            </w:r>
          </w:p>
        </w:tc>
      </w:tr>
      <w:tr w:rsidR="00246E6A" w:rsidRPr="00246E6A" w14:paraId="35ED1FD9" w14:textId="77777777" w:rsidTr="00283A2F">
        <w:tc>
          <w:tcPr>
            <w:tcW w:w="1680" w:type="dxa"/>
          </w:tcPr>
          <w:p w14:paraId="0D10373E"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w:t>
            </w:r>
          </w:p>
        </w:tc>
        <w:tc>
          <w:tcPr>
            <w:tcW w:w="1680" w:type="dxa"/>
          </w:tcPr>
          <w:p w14:paraId="4223F85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10 days</w:t>
            </w:r>
          </w:p>
        </w:tc>
        <w:tc>
          <w:tcPr>
            <w:tcW w:w="1680" w:type="dxa"/>
          </w:tcPr>
          <w:p w14:paraId="78FA67D5"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2178.2274</w:t>
            </w:r>
          </w:p>
        </w:tc>
        <w:tc>
          <w:tcPr>
            <w:tcW w:w="1680" w:type="dxa"/>
          </w:tcPr>
          <w:p w14:paraId="396E54D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46.6715</w:t>
            </w:r>
          </w:p>
        </w:tc>
        <w:tc>
          <w:tcPr>
            <w:tcW w:w="1680" w:type="dxa"/>
          </w:tcPr>
          <w:p w14:paraId="58BA46C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32.1706</w:t>
            </w:r>
          </w:p>
        </w:tc>
        <w:tc>
          <w:tcPr>
            <w:tcW w:w="1680" w:type="dxa"/>
          </w:tcPr>
          <w:p w14:paraId="7D3A056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0.5842</w:t>
            </w:r>
          </w:p>
        </w:tc>
      </w:tr>
      <w:tr w:rsidR="00246E6A" w:rsidRPr="00246E6A" w14:paraId="0803FDF7" w14:textId="77777777" w:rsidTr="00283A2F">
        <w:tc>
          <w:tcPr>
            <w:tcW w:w="1680" w:type="dxa"/>
          </w:tcPr>
          <w:p w14:paraId="64EB97EE"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SimpleRNN</w:t>
            </w:r>
          </w:p>
        </w:tc>
        <w:tc>
          <w:tcPr>
            <w:tcW w:w="1680" w:type="dxa"/>
          </w:tcPr>
          <w:p w14:paraId="3D3065F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10 days</w:t>
            </w:r>
          </w:p>
        </w:tc>
        <w:tc>
          <w:tcPr>
            <w:tcW w:w="1680" w:type="dxa"/>
          </w:tcPr>
          <w:p w14:paraId="04C4B32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2289.3951</w:t>
            </w:r>
          </w:p>
        </w:tc>
        <w:tc>
          <w:tcPr>
            <w:tcW w:w="1680" w:type="dxa"/>
          </w:tcPr>
          <w:p w14:paraId="0919099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47.8476</w:t>
            </w:r>
          </w:p>
        </w:tc>
        <w:tc>
          <w:tcPr>
            <w:tcW w:w="1680" w:type="dxa"/>
          </w:tcPr>
          <w:p w14:paraId="2092222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32.5983</w:t>
            </w:r>
          </w:p>
        </w:tc>
        <w:tc>
          <w:tcPr>
            <w:tcW w:w="1680" w:type="dxa"/>
          </w:tcPr>
          <w:p w14:paraId="2134F76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0.5629</w:t>
            </w:r>
          </w:p>
        </w:tc>
      </w:tr>
    </w:tbl>
    <w:p w14:paraId="1C32B484"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13. Model Comparison</w:t>
      </w:r>
    </w:p>
    <w:p w14:paraId="6043DFE0"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Lower MSE, RMSE and MAE indicate lower prediction error, while higher R² indicates stronger explanatory performance.</w:t>
      </w:r>
    </w:p>
    <w:tbl>
      <w:tblPr>
        <w:tblStyle w:val="TableGrid"/>
        <w:tblW w:w="0" w:type="auto"/>
        <w:tblLook w:val="04A0" w:firstRow="1" w:lastRow="0" w:firstColumn="1" w:lastColumn="0" w:noHBand="0" w:noVBand="1"/>
      </w:tblPr>
      <w:tblGrid>
        <w:gridCol w:w="3357"/>
        <w:gridCol w:w="3357"/>
        <w:gridCol w:w="3356"/>
      </w:tblGrid>
      <w:tr w:rsidR="00246E6A" w:rsidRPr="00246E6A" w14:paraId="232805DE" w14:textId="77777777" w:rsidTr="00283A2F">
        <w:tc>
          <w:tcPr>
            <w:tcW w:w="3360" w:type="dxa"/>
          </w:tcPr>
          <w:p w14:paraId="26F08FD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Horizon</w:t>
            </w:r>
          </w:p>
        </w:tc>
        <w:tc>
          <w:tcPr>
            <w:tcW w:w="3360" w:type="dxa"/>
          </w:tcPr>
          <w:p w14:paraId="75CBAB95"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Better Model by RMSE</w:t>
            </w:r>
          </w:p>
        </w:tc>
        <w:tc>
          <w:tcPr>
            <w:tcW w:w="3360" w:type="dxa"/>
          </w:tcPr>
          <w:p w14:paraId="218269F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RMSE</w:t>
            </w:r>
          </w:p>
        </w:tc>
      </w:tr>
      <w:tr w:rsidR="00246E6A" w:rsidRPr="00246E6A" w14:paraId="5BEC2A21" w14:textId="77777777" w:rsidTr="00283A2F">
        <w:tc>
          <w:tcPr>
            <w:tcW w:w="3360" w:type="dxa"/>
          </w:tcPr>
          <w:p w14:paraId="5175E705"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 day</w:t>
            </w:r>
          </w:p>
        </w:tc>
        <w:tc>
          <w:tcPr>
            <w:tcW w:w="3360" w:type="dxa"/>
          </w:tcPr>
          <w:p w14:paraId="332C8EB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w:t>
            </w:r>
          </w:p>
        </w:tc>
        <w:tc>
          <w:tcPr>
            <w:tcW w:w="3360" w:type="dxa"/>
          </w:tcPr>
          <w:p w14:paraId="4F6B215F"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24.43</w:t>
            </w:r>
          </w:p>
        </w:tc>
      </w:tr>
      <w:tr w:rsidR="00246E6A" w:rsidRPr="00246E6A" w14:paraId="0F19115A" w14:textId="77777777" w:rsidTr="00283A2F">
        <w:tc>
          <w:tcPr>
            <w:tcW w:w="3360" w:type="dxa"/>
          </w:tcPr>
          <w:p w14:paraId="0E190E0E"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 days</w:t>
            </w:r>
          </w:p>
        </w:tc>
        <w:tc>
          <w:tcPr>
            <w:tcW w:w="3360" w:type="dxa"/>
          </w:tcPr>
          <w:p w14:paraId="723CEF4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SimpleRNN</w:t>
            </w:r>
          </w:p>
        </w:tc>
        <w:tc>
          <w:tcPr>
            <w:tcW w:w="3360" w:type="dxa"/>
          </w:tcPr>
          <w:p w14:paraId="26B52A0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33.75</w:t>
            </w:r>
          </w:p>
        </w:tc>
      </w:tr>
      <w:tr w:rsidR="00246E6A" w:rsidRPr="00246E6A" w14:paraId="7C71C290" w14:textId="77777777" w:rsidTr="00283A2F">
        <w:tc>
          <w:tcPr>
            <w:tcW w:w="3360" w:type="dxa"/>
          </w:tcPr>
          <w:p w14:paraId="4FBB6AE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10 days</w:t>
            </w:r>
          </w:p>
        </w:tc>
        <w:tc>
          <w:tcPr>
            <w:tcW w:w="3360" w:type="dxa"/>
          </w:tcPr>
          <w:p w14:paraId="64003AFD"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w:t>
            </w:r>
          </w:p>
        </w:tc>
        <w:tc>
          <w:tcPr>
            <w:tcW w:w="3360" w:type="dxa"/>
          </w:tcPr>
          <w:p w14:paraId="77E3E269"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46.67</w:t>
            </w:r>
          </w:p>
        </w:tc>
      </w:tr>
    </w:tbl>
    <w:p w14:paraId="33420839"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On this run, LSTM performs best at the 1-day and 10-day horizons, while SimpleRNN performs best at the 5-day horizon. Prediction error generally increases as the horizon moves farther into the future.</w:t>
      </w:r>
    </w:p>
    <w:p w14:paraId="07423A91"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14. Hyperparameter Tuning with GridSearchCV</w:t>
      </w:r>
    </w:p>
    <w:p w14:paraId="12CD8793"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 xml:space="preserve">GridSearchCV was applied to the 1-day LSTM training set using </w:t>
      </w:r>
      <w:proofErr w:type="spellStart"/>
      <w:r w:rsidRPr="00246E6A">
        <w:rPr>
          <w:rFonts w:ascii="Times New Roman" w:hAnsi="Times New Roman" w:cs="Times New Roman"/>
          <w:color w:val="000000" w:themeColor="text1"/>
          <w:sz w:val="24"/>
          <w:szCs w:val="24"/>
        </w:rPr>
        <w:t>SciKeras</w:t>
      </w:r>
      <w:proofErr w:type="spellEnd"/>
      <w:r w:rsidRPr="00246E6A">
        <w:rPr>
          <w:rFonts w:ascii="Times New Roman" w:hAnsi="Times New Roman" w:cs="Times New Roman"/>
          <w:color w:val="000000" w:themeColor="text1"/>
          <w:sz w:val="24"/>
          <w:szCs w:val="24"/>
        </w:rPr>
        <w:t xml:space="preserve"> </w:t>
      </w:r>
      <w:proofErr w:type="spellStart"/>
      <w:r w:rsidRPr="00246E6A">
        <w:rPr>
          <w:rFonts w:ascii="Times New Roman" w:hAnsi="Times New Roman" w:cs="Times New Roman"/>
          <w:color w:val="000000" w:themeColor="text1"/>
          <w:sz w:val="24"/>
          <w:szCs w:val="24"/>
        </w:rPr>
        <w:t>KerasRegressor</w:t>
      </w:r>
      <w:proofErr w:type="spellEnd"/>
      <w:r w:rsidRPr="00246E6A">
        <w:rPr>
          <w:rFonts w:ascii="Times New Roman" w:hAnsi="Times New Roman" w:cs="Times New Roman"/>
          <w:color w:val="000000" w:themeColor="text1"/>
          <w:sz w:val="24"/>
          <w:szCs w:val="24"/>
        </w:rPr>
        <w:t>.</w:t>
      </w:r>
    </w:p>
    <w:tbl>
      <w:tblPr>
        <w:tblStyle w:val="TableGrid"/>
        <w:tblW w:w="0" w:type="auto"/>
        <w:tblLook w:val="04A0" w:firstRow="1" w:lastRow="0" w:firstColumn="1" w:lastColumn="0" w:noHBand="0" w:noVBand="1"/>
      </w:tblPr>
      <w:tblGrid>
        <w:gridCol w:w="5035"/>
        <w:gridCol w:w="5035"/>
      </w:tblGrid>
      <w:tr w:rsidR="00246E6A" w:rsidRPr="00246E6A" w14:paraId="7AF7386F" w14:textId="77777777" w:rsidTr="00283A2F">
        <w:tc>
          <w:tcPr>
            <w:tcW w:w="5040" w:type="dxa"/>
          </w:tcPr>
          <w:p w14:paraId="71D6BD09"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Parameter</w:t>
            </w:r>
          </w:p>
        </w:tc>
        <w:tc>
          <w:tcPr>
            <w:tcW w:w="5040" w:type="dxa"/>
          </w:tcPr>
          <w:p w14:paraId="561EE9A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Values Tested</w:t>
            </w:r>
          </w:p>
        </w:tc>
      </w:tr>
      <w:tr w:rsidR="00246E6A" w:rsidRPr="00246E6A" w14:paraId="3B534B2A" w14:textId="77777777" w:rsidTr="00283A2F">
        <w:tc>
          <w:tcPr>
            <w:tcW w:w="5040" w:type="dxa"/>
          </w:tcPr>
          <w:p w14:paraId="793CE911"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LSTM units</w:t>
            </w:r>
          </w:p>
        </w:tc>
        <w:tc>
          <w:tcPr>
            <w:tcW w:w="5040" w:type="dxa"/>
          </w:tcPr>
          <w:p w14:paraId="30C61D0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32, 64</w:t>
            </w:r>
          </w:p>
        </w:tc>
      </w:tr>
      <w:tr w:rsidR="00246E6A" w:rsidRPr="00246E6A" w14:paraId="1D0821BA" w14:textId="77777777" w:rsidTr="00283A2F">
        <w:tc>
          <w:tcPr>
            <w:tcW w:w="5040" w:type="dxa"/>
          </w:tcPr>
          <w:p w14:paraId="05774CA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Dropout</w:t>
            </w:r>
          </w:p>
        </w:tc>
        <w:tc>
          <w:tcPr>
            <w:tcW w:w="5040" w:type="dxa"/>
          </w:tcPr>
          <w:p w14:paraId="4CC42D3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0.2, 0.3</w:t>
            </w:r>
          </w:p>
        </w:tc>
      </w:tr>
      <w:tr w:rsidR="00246E6A" w:rsidRPr="00246E6A" w14:paraId="775C2E6E" w14:textId="77777777" w:rsidTr="00283A2F">
        <w:tc>
          <w:tcPr>
            <w:tcW w:w="5040" w:type="dxa"/>
          </w:tcPr>
          <w:p w14:paraId="5C02A89F"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Learning rate</w:t>
            </w:r>
          </w:p>
        </w:tc>
        <w:tc>
          <w:tcPr>
            <w:tcW w:w="5040" w:type="dxa"/>
          </w:tcPr>
          <w:p w14:paraId="6D0BC39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0.001, 0.005</w:t>
            </w:r>
          </w:p>
        </w:tc>
      </w:tr>
      <w:tr w:rsidR="00246E6A" w:rsidRPr="00246E6A" w14:paraId="12FB2331" w14:textId="77777777" w:rsidTr="00283A2F">
        <w:tc>
          <w:tcPr>
            <w:tcW w:w="5040" w:type="dxa"/>
          </w:tcPr>
          <w:p w14:paraId="266E2E6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Cross-validation</w:t>
            </w:r>
          </w:p>
        </w:tc>
        <w:tc>
          <w:tcPr>
            <w:tcW w:w="5040" w:type="dxa"/>
          </w:tcPr>
          <w:p w14:paraId="6BF78D7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2-fold</w:t>
            </w:r>
          </w:p>
        </w:tc>
      </w:tr>
      <w:tr w:rsidR="00246E6A" w:rsidRPr="00246E6A" w14:paraId="036B03F0" w14:textId="77777777" w:rsidTr="00283A2F">
        <w:tc>
          <w:tcPr>
            <w:tcW w:w="5040" w:type="dxa"/>
          </w:tcPr>
          <w:p w14:paraId="4781C62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Search epochs</w:t>
            </w:r>
          </w:p>
        </w:tc>
        <w:tc>
          <w:tcPr>
            <w:tcW w:w="5040" w:type="dxa"/>
          </w:tcPr>
          <w:p w14:paraId="589C68BD"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8</w:t>
            </w:r>
          </w:p>
        </w:tc>
      </w:tr>
      <w:tr w:rsidR="00246E6A" w:rsidRPr="00246E6A" w14:paraId="23308BDF" w14:textId="77777777" w:rsidTr="00283A2F">
        <w:tc>
          <w:tcPr>
            <w:tcW w:w="5040" w:type="dxa"/>
          </w:tcPr>
          <w:p w14:paraId="3B82C98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Batch size</w:t>
            </w:r>
          </w:p>
        </w:tc>
        <w:tc>
          <w:tcPr>
            <w:tcW w:w="5040" w:type="dxa"/>
          </w:tcPr>
          <w:p w14:paraId="237A3ADA"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32</w:t>
            </w:r>
          </w:p>
        </w:tc>
      </w:tr>
    </w:tbl>
    <w:p w14:paraId="1872B937"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Best configuration identified by the search: 64 units, 0.2 dropout and 0.005 learning rate. Best CV score was -0.0021821874 using negative MSE.</w:t>
      </w:r>
    </w:p>
    <w:p w14:paraId="0438263C"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When retrained for the final held-out test evaluation, the tuned 1-day LSTM produced RMSE 34.9899, which was worse than the untuned baseline RMSE of 24.4283. This result was retained as an honest experimental outcome. The search used a small grid and only 8 epochs per candidate, so the best CV configuration did not necessarily generalize better to the held-out test period.</w:t>
      </w:r>
    </w:p>
    <w:p w14:paraId="791F8890"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lastRenderedPageBreak/>
        <w:t>15. Forward Forecast</w:t>
      </w:r>
    </w:p>
    <w:p w14:paraId="49C6E211"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 recursive 10-day illustrative forecast was generated using the trained 1-day LSTM model.</w:t>
      </w:r>
    </w:p>
    <w:tbl>
      <w:tblPr>
        <w:tblStyle w:val="TableGrid"/>
        <w:tblW w:w="0" w:type="auto"/>
        <w:tblLook w:val="04A0" w:firstRow="1" w:lastRow="0" w:firstColumn="1" w:lastColumn="0" w:noHBand="0" w:noVBand="1"/>
      </w:tblPr>
      <w:tblGrid>
        <w:gridCol w:w="5035"/>
        <w:gridCol w:w="5035"/>
      </w:tblGrid>
      <w:tr w:rsidR="00246E6A" w:rsidRPr="00246E6A" w14:paraId="5D758688" w14:textId="77777777" w:rsidTr="00283A2F">
        <w:tc>
          <w:tcPr>
            <w:tcW w:w="5040" w:type="dxa"/>
          </w:tcPr>
          <w:p w14:paraId="6DDB736D"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Day Ahead</w:t>
            </w:r>
          </w:p>
        </w:tc>
        <w:tc>
          <w:tcPr>
            <w:tcW w:w="5040" w:type="dxa"/>
          </w:tcPr>
          <w:p w14:paraId="16E800D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Predicted Price</w:t>
            </w:r>
          </w:p>
        </w:tc>
      </w:tr>
      <w:tr w:rsidR="00246E6A" w:rsidRPr="00246E6A" w14:paraId="4DC920D5" w14:textId="77777777" w:rsidTr="00283A2F">
        <w:tc>
          <w:tcPr>
            <w:tcW w:w="5040" w:type="dxa"/>
          </w:tcPr>
          <w:p w14:paraId="00B6F95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w:t>
            </w:r>
          </w:p>
        </w:tc>
        <w:tc>
          <w:tcPr>
            <w:tcW w:w="5040" w:type="dxa"/>
          </w:tcPr>
          <w:p w14:paraId="0688EBC2"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$570.30</w:t>
            </w:r>
          </w:p>
        </w:tc>
      </w:tr>
      <w:tr w:rsidR="00246E6A" w:rsidRPr="00246E6A" w14:paraId="480556C6" w14:textId="77777777" w:rsidTr="00283A2F">
        <w:tc>
          <w:tcPr>
            <w:tcW w:w="5040" w:type="dxa"/>
          </w:tcPr>
          <w:p w14:paraId="37FD68E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2</w:t>
            </w:r>
          </w:p>
        </w:tc>
        <w:tc>
          <w:tcPr>
            <w:tcW w:w="5040" w:type="dxa"/>
          </w:tcPr>
          <w:p w14:paraId="0FAF02A6"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$577.34</w:t>
            </w:r>
          </w:p>
        </w:tc>
      </w:tr>
      <w:tr w:rsidR="00246E6A" w:rsidRPr="00246E6A" w14:paraId="6AA998D6" w14:textId="77777777" w:rsidTr="00283A2F">
        <w:tc>
          <w:tcPr>
            <w:tcW w:w="5040" w:type="dxa"/>
          </w:tcPr>
          <w:p w14:paraId="0FDEB3D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3</w:t>
            </w:r>
          </w:p>
        </w:tc>
        <w:tc>
          <w:tcPr>
            <w:tcW w:w="5040" w:type="dxa"/>
          </w:tcPr>
          <w:p w14:paraId="6DA4E9C8"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$578.46</w:t>
            </w:r>
          </w:p>
        </w:tc>
      </w:tr>
      <w:tr w:rsidR="00246E6A" w:rsidRPr="00246E6A" w14:paraId="7E2C334F" w14:textId="77777777" w:rsidTr="00283A2F">
        <w:tc>
          <w:tcPr>
            <w:tcW w:w="5040" w:type="dxa"/>
          </w:tcPr>
          <w:p w14:paraId="07593B43"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4</w:t>
            </w:r>
          </w:p>
        </w:tc>
        <w:tc>
          <w:tcPr>
            <w:tcW w:w="5040" w:type="dxa"/>
          </w:tcPr>
          <w:p w14:paraId="054333F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$575.45</w:t>
            </w:r>
          </w:p>
        </w:tc>
      </w:tr>
      <w:tr w:rsidR="00246E6A" w:rsidRPr="00246E6A" w14:paraId="0383E863" w14:textId="77777777" w:rsidTr="00283A2F">
        <w:tc>
          <w:tcPr>
            <w:tcW w:w="5040" w:type="dxa"/>
          </w:tcPr>
          <w:p w14:paraId="00B95597"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w:t>
            </w:r>
          </w:p>
        </w:tc>
        <w:tc>
          <w:tcPr>
            <w:tcW w:w="5040" w:type="dxa"/>
          </w:tcPr>
          <w:p w14:paraId="611526F1"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$569.63</w:t>
            </w:r>
          </w:p>
        </w:tc>
      </w:tr>
      <w:tr w:rsidR="00246E6A" w:rsidRPr="00246E6A" w14:paraId="27ADCE98" w14:textId="77777777" w:rsidTr="00283A2F">
        <w:tc>
          <w:tcPr>
            <w:tcW w:w="5040" w:type="dxa"/>
          </w:tcPr>
          <w:p w14:paraId="7676CE11"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6</w:t>
            </w:r>
          </w:p>
        </w:tc>
        <w:tc>
          <w:tcPr>
            <w:tcW w:w="5040" w:type="dxa"/>
          </w:tcPr>
          <w:p w14:paraId="46CC538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$561.98</w:t>
            </w:r>
          </w:p>
        </w:tc>
      </w:tr>
      <w:tr w:rsidR="00246E6A" w:rsidRPr="00246E6A" w14:paraId="204B6408" w14:textId="77777777" w:rsidTr="00283A2F">
        <w:tc>
          <w:tcPr>
            <w:tcW w:w="5040" w:type="dxa"/>
          </w:tcPr>
          <w:p w14:paraId="51DB618D"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7</w:t>
            </w:r>
          </w:p>
        </w:tc>
        <w:tc>
          <w:tcPr>
            <w:tcW w:w="5040" w:type="dxa"/>
          </w:tcPr>
          <w:p w14:paraId="683A513C"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$553.20</w:t>
            </w:r>
          </w:p>
        </w:tc>
      </w:tr>
      <w:tr w:rsidR="00246E6A" w:rsidRPr="00246E6A" w14:paraId="61852FBE" w14:textId="77777777" w:rsidTr="00283A2F">
        <w:tc>
          <w:tcPr>
            <w:tcW w:w="5040" w:type="dxa"/>
          </w:tcPr>
          <w:p w14:paraId="07495CB4"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8</w:t>
            </w:r>
          </w:p>
        </w:tc>
        <w:tc>
          <w:tcPr>
            <w:tcW w:w="5040" w:type="dxa"/>
          </w:tcPr>
          <w:p w14:paraId="2476180B"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$543.77</w:t>
            </w:r>
          </w:p>
        </w:tc>
      </w:tr>
      <w:tr w:rsidR="00246E6A" w:rsidRPr="00246E6A" w14:paraId="7A96ACE1" w14:textId="77777777" w:rsidTr="00283A2F">
        <w:tc>
          <w:tcPr>
            <w:tcW w:w="5040" w:type="dxa"/>
          </w:tcPr>
          <w:p w14:paraId="4D856C61"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9</w:t>
            </w:r>
          </w:p>
        </w:tc>
        <w:tc>
          <w:tcPr>
            <w:tcW w:w="5040" w:type="dxa"/>
          </w:tcPr>
          <w:p w14:paraId="129BB5B5"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$534.06</w:t>
            </w:r>
          </w:p>
        </w:tc>
      </w:tr>
      <w:tr w:rsidR="00246E6A" w:rsidRPr="00246E6A" w14:paraId="0CA32B57" w14:textId="77777777" w:rsidTr="00283A2F">
        <w:tc>
          <w:tcPr>
            <w:tcW w:w="5040" w:type="dxa"/>
          </w:tcPr>
          <w:p w14:paraId="01732290"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10</w:t>
            </w:r>
          </w:p>
        </w:tc>
        <w:tc>
          <w:tcPr>
            <w:tcW w:w="5040" w:type="dxa"/>
          </w:tcPr>
          <w:p w14:paraId="3901944D" w14:textId="77777777" w:rsidR="00246E6A" w:rsidRPr="00246E6A" w:rsidRDefault="00246E6A" w:rsidP="00283A2F">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$524.31</w:t>
            </w:r>
          </w:p>
        </w:tc>
      </w:tr>
    </w:tbl>
    <w:p w14:paraId="6AC24D9E"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These values are model-generated illustrative forecasts from the supplied historical sample and should not be interpreted as investment advice. Recursive forecasting can compound prediction errors as each prediction becomes input to the next step.</w:t>
      </w:r>
    </w:p>
    <w:p w14:paraId="3B289C43"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16. NLP – News Sentiment Analysis</w:t>
      </w:r>
    </w:p>
    <w:p w14:paraId="1FFF8577"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 small illustrative set of 15 Tesla-related historical headlines was cleaned and scored using VADER sentiment analysis. The sentiment score was compared with the nearest same-day Tesla daily return.</w:t>
      </w:r>
    </w:p>
    <w:p w14:paraId="28AFF8E1"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Positive, neutral and negative sentiment labels were generated from VADER compound scores.</w:t>
      </w:r>
    </w:p>
    <w:p w14:paraId="01EB90A1"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Headline sentiment was merged with daily return data using nearest-date matching.</w:t>
      </w:r>
    </w:p>
    <w:p w14:paraId="45182F81"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Observed correlation between sample sentiment score and same-day return: 0.309.</w:t>
      </w:r>
    </w:p>
    <w:p w14:paraId="4BE3387D"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This NLP section demonstrates the potential value of alternative data, but the small illustrative headline set is not sufficient to establish a robust causal or predictive relationship. A complete historical news dataset would be required before using sentiment as a model feature.</w:t>
      </w:r>
    </w:p>
    <w:p w14:paraId="66FAEEF8"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17. Business Use Cases</w:t>
      </w:r>
    </w:p>
    <w:p w14:paraId="43AE9EF3"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Investment research and portfolio monitoring.</w:t>
      </w:r>
    </w:p>
    <w:p w14:paraId="1D14979D"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Algorithmic trading research based on predicted price direction.</w:t>
      </w:r>
    </w:p>
    <w:p w14:paraId="3A091284"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Risk monitoring and scenario analysis.</w:t>
      </w:r>
    </w:p>
    <w:p w14:paraId="0918197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Financial forecasting and time-series research.</w:t>
      </w:r>
    </w:p>
    <w:p w14:paraId="7C949C19"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lastRenderedPageBreak/>
        <w:t>Extension to competitor stocks such as Rivian, NIO and Lucid Motors.</w:t>
      </w:r>
    </w:p>
    <w:p w14:paraId="6C35770C"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Research comparison with GRU, Transformer and classical forecasting approaches.</w:t>
      </w:r>
    </w:p>
    <w:p w14:paraId="5A24ECE3"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18. Challenges &amp; Limitations</w:t>
      </w:r>
    </w:p>
    <w:p w14:paraId="55A09F19"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Historical price-only models cannot directly react to breaking news or macroeconomic shocks.</w:t>
      </w:r>
    </w:p>
    <w:p w14:paraId="0E046BBC"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Stock prices are highly noisy and non-stationary.</w:t>
      </w:r>
    </w:p>
    <w:p w14:paraId="5AA5C31E"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Longer forecast horizons have greater uncertainty.</w:t>
      </w:r>
    </w:p>
    <w:p w14:paraId="243B3C1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Recursive multi-step forecasting can compound errors.</w:t>
      </w:r>
    </w:p>
    <w:p w14:paraId="0F7D81FF"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NLP analysis uses only a small illustrative headline dataset.</w:t>
      </w:r>
    </w:p>
    <w:p w14:paraId="5CF0D13A"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GridSearchCV tuning was intentionally limited and the tuned model did not outperform the baseline on the held-out test set.</w:t>
      </w:r>
    </w:p>
    <w:p w14:paraId="1D9783C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supplied data ends on 2020-02-03, so the project is a historical modeling exercise rather than a current-market forecasting system.</w:t>
      </w:r>
    </w:p>
    <w:p w14:paraId="58A622E2"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19. Conclusion</w:t>
      </w:r>
    </w:p>
    <w:p w14:paraId="78951289"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This project successfully develops and compares SimpleRNN and LSTM deep learning models for Tesla closing-price prediction at 1-day, 5-day and 10-day horizons. The complete workflow includes data cleaning, EDA, time-series preprocessing, sequence creation, scaling, deep learning, early stopping, checkpointing, evaluation and hyperparameter tuning.</w:t>
      </w:r>
    </w:p>
    <w:p w14:paraId="09F51B31"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experimental results show that LSTM is strongest for the 1-day and 10-day horizons in this run, while SimpleRNN is strongest for the 5-day horizon. The decline in performance at longer horizons highlights the increasing uncertainty of stock-price forecasting.</w:t>
      </w:r>
    </w:p>
    <w:p w14:paraId="1B20DF60" w14:textId="77777777" w:rsidR="00246E6A" w:rsidRPr="00246E6A" w:rsidRDefault="00246E6A" w:rsidP="00246E6A">
      <w:pPr>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The project also demonstrates an NLP extension through VADER sentiment analysis and identifies a clear path toward multimodal forecasting using news sentiment, volume trends and macroeconomic indicators.</w:t>
      </w:r>
    </w:p>
    <w:p w14:paraId="57261EAB" w14:textId="77777777" w:rsidR="00246E6A" w:rsidRPr="00246E6A" w:rsidRDefault="00246E6A" w:rsidP="00246E6A">
      <w:pPr>
        <w:pStyle w:val="Heading1"/>
        <w:rPr>
          <w:rFonts w:ascii="Times New Roman" w:hAnsi="Times New Roman" w:cs="Times New Roman"/>
          <w:color w:val="4472C4" w:themeColor="accent1"/>
          <w:sz w:val="32"/>
          <w:szCs w:val="32"/>
        </w:rPr>
      </w:pPr>
      <w:r w:rsidRPr="00246E6A">
        <w:rPr>
          <w:rFonts w:ascii="Times New Roman" w:hAnsi="Times New Roman" w:cs="Times New Roman"/>
          <w:color w:val="4472C4" w:themeColor="accent1"/>
          <w:sz w:val="32"/>
          <w:szCs w:val="32"/>
        </w:rPr>
        <w:t>20. Future Enhancements</w:t>
      </w:r>
    </w:p>
    <w:p w14:paraId="6C737A2F"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Add full historical Tesla news sentiment as an additional model input.</w:t>
      </w:r>
    </w:p>
    <w:p w14:paraId="252344C7" w14:textId="768D2696"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Add trading-volume and technical-indicator features.</w:t>
      </w:r>
    </w:p>
    <w:p w14:paraId="551248C1" w14:textId="5E698D73"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Add macroeconomic variables such as interest rates and inflation.</w:t>
      </w:r>
    </w:p>
    <w:p w14:paraId="397DF260"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Compare LSTM/SimpleRNN with GRU, Transformer and ARIMA-style baselines.</w:t>
      </w:r>
    </w:p>
    <w:p w14:paraId="2FC813AF"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Use walk-forward or expanding-window validation designed specifically for time series.</w:t>
      </w:r>
    </w:p>
    <w:p w14:paraId="29A7ED01"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Tune sequence window, batch size, units, dropout and learning rate with a larger search budget.</w:t>
      </w:r>
    </w:p>
    <w:p w14:paraId="2A3BFD55"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Evaluate directional accuracy in addition to regression error.</w:t>
      </w:r>
    </w:p>
    <w:p w14:paraId="5A7261AC" w14:textId="77777777" w:rsidR="00246E6A" w:rsidRPr="00246E6A" w:rsidRDefault="00246E6A" w:rsidP="00246E6A">
      <w:pPr>
        <w:pStyle w:val="ListBullet"/>
        <w:numPr>
          <w:ilvl w:val="0"/>
          <w:numId w:val="0"/>
        </w:numPr>
        <w:ind w:left="360"/>
        <w:rPr>
          <w:rFonts w:ascii="Times New Roman" w:hAnsi="Times New Roman" w:cs="Times New Roman"/>
          <w:color w:val="000000" w:themeColor="text1"/>
          <w:sz w:val="24"/>
          <w:szCs w:val="24"/>
        </w:rPr>
      </w:pPr>
      <w:r w:rsidRPr="00246E6A">
        <w:rPr>
          <w:rFonts w:ascii="Times New Roman" w:hAnsi="Times New Roman" w:cs="Times New Roman"/>
          <w:color w:val="000000" w:themeColor="text1"/>
          <w:sz w:val="24"/>
          <w:szCs w:val="24"/>
        </w:rPr>
        <w:t>Deploy the final model as an interactive dashboard or API after proper validation.</w:t>
      </w:r>
    </w:p>
    <w:p w14:paraId="3027122A" w14:textId="77777777" w:rsidR="00114196" w:rsidRPr="00246E6A" w:rsidRDefault="00114196">
      <w:pPr>
        <w:rPr>
          <w:rFonts w:ascii="Times New Roman" w:hAnsi="Times New Roman" w:cs="Times New Roman"/>
        </w:rPr>
      </w:pPr>
    </w:p>
    <w:sectPr w:rsidR="00114196" w:rsidRPr="00246E6A" w:rsidSect="00246E6A">
      <w:footerReference w:type="default" r:id="rId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DB5F" w14:textId="77777777" w:rsidR="00246E6A" w:rsidRDefault="00246E6A">
    <w:pPr>
      <w:pStyle w:val="Footer"/>
      <w:jc w:val="cen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C0E6FBA"/>
    <w:lvl w:ilvl="0">
      <w:start w:val="1"/>
      <w:numFmt w:val="bullet"/>
      <w:pStyle w:val="ListBullet"/>
      <w:lvlText w:val=""/>
      <w:lvlJc w:val="left"/>
      <w:pPr>
        <w:tabs>
          <w:tab w:val="num" w:pos="360"/>
        </w:tabs>
        <w:ind w:left="360" w:hanging="360"/>
      </w:pPr>
      <w:rPr>
        <w:rFonts w:ascii="Symbol" w:hAnsi="Symbol" w:hint="default"/>
      </w:rPr>
    </w:lvl>
  </w:abstractNum>
  <w:num w:numId="1" w16cid:durableId="213243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6A"/>
    <w:rsid w:val="00114196"/>
    <w:rsid w:val="001D12E0"/>
    <w:rsid w:val="001E58CA"/>
    <w:rsid w:val="00246E6A"/>
    <w:rsid w:val="00C1558A"/>
    <w:rsid w:val="00D674F2"/>
    <w:rsid w:val="00E0094C"/>
    <w:rsid w:val="00EC1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44E5"/>
  <w15:chartTrackingRefBased/>
  <w15:docId w15:val="{86110077-443B-4F81-BF2B-F5BEE3B9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E6A"/>
    <w:pPr>
      <w:spacing w:after="200" w:line="276" w:lineRule="auto"/>
    </w:pPr>
    <w:rPr>
      <w:rFonts w:ascii="Arial" w:eastAsiaTheme="minorEastAsia" w:hAnsi="Arial"/>
      <w:kern w:val="0"/>
      <w:sz w:val="21"/>
      <w:lang w:val="en-US"/>
      <w14:ligatures w14:val="none"/>
    </w:rPr>
  </w:style>
  <w:style w:type="paragraph" w:styleId="Heading1">
    <w:name w:val="heading 1"/>
    <w:basedOn w:val="Normal"/>
    <w:next w:val="Normal"/>
    <w:link w:val="Heading1Char"/>
    <w:uiPriority w:val="9"/>
    <w:qFormat/>
    <w:rsid w:val="00246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E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E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E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E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E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E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E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6A"/>
    <w:rPr>
      <w:rFonts w:eastAsiaTheme="majorEastAsia" w:cstheme="majorBidi"/>
      <w:color w:val="272727" w:themeColor="text1" w:themeTint="D8"/>
    </w:rPr>
  </w:style>
  <w:style w:type="paragraph" w:styleId="Title">
    <w:name w:val="Title"/>
    <w:basedOn w:val="Normal"/>
    <w:next w:val="Normal"/>
    <w:link w:val="TitleChar"/>
    <w:uiPriority w:val="10"/>
    <w:qFormat/>
    <w:rsid w:val="00246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6A"/>
    <w:pPr>
      <w:spacing w:before="160"/>
      <w:jc w:val="center"/>
    </w:pPr>
    <w:rPr>
      <w:i/>
      <w:iCs/>
      <w:color w:val="404040" w:themeColor="text1" w:themeTint="BF"/>
    </w:rPr>
  </w:style>
  <w:style w:type="character" w:customStyle="1" w:styleId="QuoteChar">
    <w:name w:val="Quote Char"/>
    <w:basedOn w:val="DefaultParagraphFont"/>
    <w:link w:val="Quote"/>
    <w:uiPriority w:val="29"/>
    <w:rsid w:val="00246E6A"/>
    <w:rPr>
      <w:i/>
      <w:iCs/>
      <w:color w:val="404040" w:themeColor="text1" w:themeTint="BF"/>
    </w:rPr>
  </w:style>
  <w:style w:type="paragraph" w:styleId="ListParagraph">
    <w:name w:val="List Paragraph"/>
    <w:basedOn w:val="Normal"/>
    <w:uiPriority w:val="34"/>
    <w:qFormat/>
    <w:rsid w:val="00246E6A"/>
    <w:pPr>
      <w:ind w:left="720"/>
      <w:contextualSpacing/>
    </w:pPr>
  </w:style>
  <w:style w:type="character" w:styleId="IntenseEmphasis">
    <w:name w:val="Intense Emphasis"/>
    <w:basedOn w:val="DefaultParagraphFont"/>
    <w:uiPriority w:val="21"/>
    <w:qFormat/>
    <w:rsid w:val="00246E6A"/>
    <w:rPr>
      <w:i/>
      <w:iCs/>
      <w:color w:val="2F5496" w:themeColor="accent1" w:themeShade="BF"/>
    </w:rPr>
  </w:style>
  <w:style w:type="paragraph" w:styleId="IntenseQuote">
    <w:name w:val="Intense Quote"/>
    <w:basedOn w:val="Normal"/>
    <w:next w:val="Normal"/>
    <w:link w:val="IntenseQuoteChar"/>
    <w:uiPriority w:val="30"/>
    <w:qFormat/>
    <w:rsid w:val="00246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E6A"/>
    <w:rPr>
      <w:i/>
      <w:iCs/>
      <w:color w:val="2F5496" w:themeColor="accent1" w:themeShade="BF"/>
    </w:rPr>
  </w:style>
  <w:style w:type="character" w:styleId="IntenseReference">
    <w:name w:val="Intense Reference"/>
    <w:basedOn w:val="DefaultParagraphFont"/>
    <w:uiPriority w:val="32"/>
    <w:qFormat/>
    <w:rsid w:val="00246E6A"/>
    <w:rPr>
      <w:b/>
      <w:bCs/>
      <w:smallCaps/>
      <w:color w:val="2F5496" w:themeColor="accent1" w:themeShade="BF"/>
      <w:spacing w:val="5"/>
    </w:rPr>
  </w:style>
  <w:style w:type="paragraph" w:styleId="Footer">
    <w:name w:val="footer"/>
    <w:basedOn w:val="Normal"/>
    <w:link w:val="FooterChar"/>
    <w:uiPriority w:val="99"/>
    <w:unhideWhenUsed/>
    <w:rsid w:val="00246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E6A"/>
    <w:rPr>
      <w:rFonts w:ascii="Arial" w:eastAsiaTheme="minorEastAsia" w:hAnsi="Arial"/>
      <w:kern w:val="0"/>
      <w:sz w:val="21"/>
      <w:lang w:val="en-US"/>
      <w14:ligatures w14:val="none"/>
    </w:rPr>
  </w:style>
  <w:style w:type="paragraph" w:styleId="ListBullet">
    <w:name w:val="List Bullet"/>
    <w:basedOn w:val="Normal"/>
    <w:uiPriority w:val="99"/>
    <w:unhideWhenUsed/>
    <w:rsid w:val="00246E6A"/>
    <w:pPr>
      <w:numPr>
        <w:numId w:val="1"/>
      </w:numPr>
      <w:tabs>
        <w:tab w:val="clear" w:pos="360"/>
      </w:tabs>
      <w:ind w:left="0" w:firstLine="0"/>
      <w:contextualSpacing/>
    </w:pPr>
  </w:style>
  <w:style w:type="table" w:styleId="TableGrid">
    <w:name w:val="Table Grid"/>
    <w:basedOn w:val="TableNormal"/>
    <w:uiPriority w:val="59"/>
    <w:rsid w:val="00246E6A"/>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1652</Words>
  <Characters>9422</Characters>
  <Application>Microsoft Office Word</Application>
  <DocSecurity>0</DocSecurity>
  <Lines>78</Lines>
  <Paragraphs>22</Paragraphs>
  <ScaleCrop>false</ScaleCrop>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kumar</dc:creator>
  <cp:keywords/>
  <dc:description/>
  <cp:lastModifiedBy>logesh kumar</cp:lastModifiedBy>
  <cp:revision>1</cp:revision>
  <dcterms:created xsi:type="dcterms:W3CDTF">2026-08-16T12:07:00Z</dcterms:created>
  <dcterms:modified xsi:type="dcterms:W3CDTF">2026-08-16T12:11:00Z</dcterms:modified>
</cp:coreProperties>
</file>