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30F" w:rsidRPr="00E6530F" w:rsidRDefault="00E6530F" w:rsidP="00E6530F">
      <w:pPr>
        <w:pStyle w:val="Heading1"/>
        <w:jc w:val="center"/>
        <w:rPr>
          <w:rFonts w:ascii="Times New Roman" w:hAnsi="Times New Roman" w:cs="Times New Roman"/>
          <w:sz w:val="48"/>
          <w:szCs w:val="56"/>
        </w:rPr>
      </w:pPr>
      <w:r w:rsidRPr="00E6530F">
        <w:rPr>
          <w:rFonts w:ascii="Times New Roman" w:hAnsi="Times New Roman" w:cs="Times New Roman"/>
          <w:sz w:val="48"/>
          <w:szCs w:val="56"/>
        </w:rPr>
        <w:t>BANK LOAN ANALYSIS — BUSINESS REPORT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2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1. Executive Summary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 xml:space="preserve">This Bank Loan Dashboard provides a comprehensive overview of loan applications, funding performance, repayment </w:t>
      </w:r>
      <w:proofErr w:type="spellStart"/>
      <w:r w:rsidRPr="00E6530F">
        <w:rPr>
          <w:rFonts w:ascii="Times New Roman" w:hAnsi="Times New Roman" w:cs="Times New Roman"/>
        </w:rPr>
        <w:t>behavior</w:t>
      </w:r>
      <w:proofErr w:type="spellEnd"/>
      <w:r w:rsidRPr="00E6530F">
        <w:rPr>
          <w:rFonts w:ascii="Times New Roman" w:hAnsi="Times New Roman" w:cs="Times New Roman"/>
        </w:rPr>
        <w:t>, and risk exposure.</w:t>
      </w:r>
      <w:r w:rsidRPr="00E6530F">
        <w:rPr>
          <w:rFonts w:ascii="Times New Roman" w:hAnsi="Times New Roman" w:cs="Times New Roman"/>
        </w:rPr>
        <w:br/>
        <w:t xml:space="preserve">With </w:t>
      </w:r>
      <w:r w:rsidRPr="00E6530F">
        <w:rPr>
          <w:rFonts w:ascii="Times New Roman" w:hAnsi="Times New Roman" w:cs="Times New Roman"/>
          <w:b/>
          <w:bCs/>
        </w:rPr>
        <w:t>38.6K total loan applications</w:t>
      </w:r>
      <w:r w:rsidRPr="00E6530F">
        <w:rPr>
          <w:rFonts w:ascii="Times New Roman" w:hAnsi="Times New Roman" w:cs="Times New Roman"/>
        </w:rPr>
        <w:t xml:space="preserve">, </w:t>
      </w:r>
      <w:r w:rsidRPr="00E6530F">
        <w:rPr>
          <w:rFonts w:ascii="Times New Roman" w:hAnsi="Times New Roman" w:cs="Times New Roman"/>
          <w:b/>
          <w:bCs/>
        </w:rPr>
        <w:t>$435.8M funded</w:t>
      </w:r>
      <w:r w:rsidRPr="00E6530F">
        <w:rPr>
          <w:rFonts w:ascii="Times New Roman" w:hAnsi="Times New Roman" w:cs="Times New Roman"/>
        </w:rPr>
        <w:t xml:space="preserve">, and </w:t>
      </w:r>
      <w:r w:rsidRPr="00E6530F">
        <w:rPr>
          <w:rFonts w:ascii="Times New Roman" w:hAnsi="Times New Roman" w:cs="Times New Roman"/>
          <w:b/>
          <w:bCs/>
        </w:rPr>
        <w:t>$473.1M received</w:t>
      </w:r>
      <w:r w:rsidRPr="00E6530F">
        <w:rPr>
          <w:rFonts w:ascii="Times New Roman" w:hAnsi="Times New Roman" w:cs="Times New Roman"/>
        </w:rPr>
        <w:t>, the institution demonstrates strong loan recovery efficiency and a healthy credit portfolio.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 xml:space="preserve">Approximately </w:t>
      </w:r>
      <w:r w:rsidRPr="00E6530F">
        <w:rPr>
          <w:rFonts w:ascii="Times New Roman" w:hAnsi="Times New Roman" w:cs="Times New Roman"/>
          <w:b/>
          <w:bCs/>
        </w:rPr>
        <w:t>86.2% of loans are classified as “Good Loans”</w:t>
      </w:r>
      <w:r w:rsidRPr="00E6530F">
        <w:rPr>
          <w:rFonts w:ascii="Times New Roman" w:hAnsi="Times New Roman" w:cs="Times New Roman"/>
        </w:rPr>
        <w:t xml:space="preserve">, indicating stable repayment </w:t>
      </w:r>
      <w:proofErr w:type="spellStart"/>
      <w:r w:rsidRPr="00E6530F">
        <w:rPr>
          <w:rFonts w:ascii="Times New Roman" w:hAnsi="Times New Roman" w:cs="Times New Roman"/>
        </w:rPr>
        <w:t>behavior</w:t>
      </w:r>
      <w:proofErr w:type="spellEnd"/>
      <w:r w:rsidRPr="00E6530F">
        <w:rPr>
          <w:rFonts w:ascii="Times New Roman" w:hAnsi="Times New Roman" w:cs="Times New Roman"/>
        </w:rPr>
        <w:t xml:space="preserve">, while </w:t>
      </w:r>
      <w:r w:rsidRPr="00E6530F">
        <w:rPr>
          <w:rFonts w:ascii="Times New Roman" w:hAnsi="Times New Roman" w:cs="Times New Roman"/>
          <w:b/>
          <w:bCs/>
        </w:rPr>
        <w:t>13.8% fall under “Bad Loans”</w:t>
      </w:r>
      <w:r w:rsidRPr="00E6530F">
        <w:rPr>
          <w:rFonts w:ascii="Times New Roman" w:hAnsi="Times New Roman" w:cs="Times New Roman"/>
        </w:rPr>
        <w:t>, highlighting potential risk and loss exposure.</w:t>
      </w:r>
      <w:r w:rsidRPr="00E6530F">
        <w:rPr>
          <w:rFonts w:ascii="Times New Roman" w:hAnsi="Times New Roman" w:cs="Times New Roman"/>
        </w:rPr>
        <w:br/>
        <w:t>The dashboard also uncovers trends by state, loan purpose, employee length, home ownership, and loan term — providing critical insights for improving credit policy and expanding profitable customer segments.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2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2. Key Portfolio Insights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2.1 Portfolio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1017"/>
        <w:gridCol w:w="5350"/>
      </w:tblGrid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Total Loan Applications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38.6K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Strong customer demand</w:t>
            </w:r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Total Funded Amount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$435.8M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Lending portfolio size</w:t>
            </w:r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Total Received Amount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$473.1M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Recovery is higher than funded amount → healthy cashflow</w:t>
            </w:r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6530F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E6530F">
              <w:rPr>
                <w:rFonts w:ascii="Times New Roman" w:hAnsi="Times New Roman" w:cs="Times New Roman"/>
                <w:b/>
                <w:bCs/>
              </w:rPr>
              <w:t xml:space="preserve"> Interest Rate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Moderate risk-based pricing</w:t>
            </w:r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E6530F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E6530F">
              <w:rPr>
                <w:rFonts w:ascii="Times New Roman" w:hAnsi="Times New Roman" w:cs="Times New Roman"/>
                <w:b/>
                <w:bCs/>
              </w:rPr>
              <w:t xml:space="preserve"> DTI (Debt-to-Income)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13.3%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Borrowers have manageable financial obligations</w:t>
            </w:r>
          </w:p>
        </w:tc>
      </w:tr>
    </w:tbl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Insight:</w:t>
      </w:r>
      <w:r w:rsidRPr="00E6530F">
        <w:rPr>
          <w:rFonts w:ascii="Times New Roman" w:hAnsi="Times New Roman" w:cs="Times New Roman"/>
        </w:rPr>
        <w:br/>
        <w:t>The institution successfully collects more than the total funded amount, indicating strong repayment performance despite some charged-off loans.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2.2 Good Loan vs Bad Loan Distribution</w:t>
      </w:r>
    </w:p>
    <w:p w:rsidR="00E6530F" w:rsidRPr="00E6530F" w:rsidRDefault="00E6530F" w:rsidP="00E6530F">
      <w:pPr>
        <w:rPr>
          <w:rFonts w:ascii="Times New Roman" w:hAnsi="Times New Roman" w:cs="Times New Roman"/>
          <w:b/>
          <w:bCs/>
        </w:rPr>
      </w:pPr>
      <w:r w:rsidRPr="00E6530F">
        <w:rPr>
          <w:rFonts w:ascii="Times New Roman" w:hAnsi="Times New Roman" w:cs="Times New Roman"/>
          <w:b/>
          <w:bCs/>
        </w:rPr>
        <w:t>Good Loans (86.2%)</w:t>
      </w:r>
    </w:p>
    <w:p w:rsidR="00E6530F" w:rsidRPr="00E6530F" w:rsidRDefault="00E6530F" w:rsidP="00E653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Applications:</w:t>
      </w:r>
      <w:r w:rsidRPr="00E6530F">
        <w:rPr>
          <w:rFonts w:ascii="Times New Roman" w:hAnsi="Times New Roman" w:cs="Times New Roman"/>
        </w:rPr>
        <w:t xml:space="preserve"> 33K</w:t>
      </w:r>
    </w:p>
    <w:p w:rsidR="00E6530F" w:rsidRPr="00E6530F" w:rsidRDefault="00E6530F" w:rsidP="00E653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Funded Amount:</w:t>
      </w:r>
      <w:r w:rsidRPr="00E6530F">
        <w:rPr>
          <w:rFonts w:ascii="Times New Roman" w:hAnsi="Times New Roman" w:cs="Times New Roman"/>
        </w:rPr>
        <w:t xml:space="preserve"> $370.2M</w:t>
      </w:r>
    </w:p>
    <w:p w:rsidR="00E6530F" w:rsidRPr="00E6530F" w:rsidRDefault="00E6530F" w:rsidP="00E653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Received Amount:</w:t>
      </w:r>
      <w:r w:rsidRPr="00E6530F">
        <w:rPr>
          <w:rFonts w:ascii="Times New Roman" w:hAnsi="Times New Roman" w:cs="Times New Roman"/>
        </w:rPr>
        <w:t xml:space="preserve"> $435.8M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lastRenderedPageBreak/>
        <w:t>Meaning:</w:t>
      </w:r>
      <w:r w:rsidRPr="00E6530F">
        <w:rPr>
          <w:rFonts w:ascii="Times New Roman" w:hAnsi="Times New Roman" w:cs="Times New Roman"/>
        </w:rPr>
        <w:br/>
        <w:t>Good loan customers not only repay consistently but also provide the majority of interest revenue.</w:t>
      </w:r>
    </w:p>
    <w:p w:rsidR="00E6530F" w:rsidRPr="00E6530F" w:rsidRDefault="00E6530F" w:rsidP="00E6530F">
      <w:pPr>
        <w:rPr>
          <w:rFonts w:ascii="Times New Roman" w:hAnsi="Times New Roman" w:cs="Times New Roman"/>
          <w:b/>
          <w:bCs/>
        </w:rPr>
      </w:pPr>
      <w:r w:rsidRPr="00E6530F">
        <w:rPr>
          <w:rFonts w:ascii="Times New Roman" w:hAnsi="Times New Roman" w:cs="Times New Roman"/>
          <w:b/>
          <w:bCs/>
        </w:rPr>
        <w:t>Bad Loans (13.8%)</w:t>
      </w:r>
    </w:p>
    <w:p w:rsidR="00E6530F" w:rsidRPr="00E6530F" w:rsidRDefault="00E6530F" w:rsidP="00E653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Applications:</w:t>
      </w:r>
      <w:r w:rsidRPr="00E6530F">
        <w:rPr>
          <w:rFonts w:ascii="Times New Roman" w:hAnsi="Times New Roman" w:cs="Times New Roman"/>
        </w:rPr>
        <w:t xml:space="preserve"> 5.3K</w:t>
      </w:r>
    </w:p>
    <w:p w:rsidR="00E6530F" w:rsidRPr="00E6530F" w:rsidRDefault="00E6530F" w:rsidP="00E653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Funded Amount:</w:t>
      </w:r>
      <w:r w:rsidRPr="00E6530F">
        <w:rPr>
          <w:rFonts w:ascii="Times New Roman" w:hAnsi="Times New Roman" w:cs="Times New Roman"/>
        </w:rPr>
        <w:t xml:space="preserve"> $65.5M</w:t>
      </w:r>
    </w:p>
    <w:p w:rsidR="00E6530F" w:rsidRPr="00E6530F" w:rsidRDefault="00E6530F" w:rsidP="00E653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Received Amount:</w:t>
      </w:r>
      <w:r w:rsidRPr="00E6530F">
        <w:rPr>
          <w:rFonts w:ascii="Times New Roman" w:hAnsi="Times New Roman" w:cs="Times New Roman"/>
        </w:rPr>
        <w:t xml:space="preserve"> $37.3M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Meaning:</w:t>
      </w:r>
      <w:r w:rsidRPr="00E6530F">
        <w:rPr>
          <w:rFonts w:ascii="Times New Roman" w:hAnsi="Times New Roman" w:cs="Times New Roman"/>
        </w:rPr>
        <w:br/>
        <w:t>Bad loans cause direct financial loss.</w:t>
      </w:r>
      <w:r w:rsidRPr="00E6530F">
        <w:rPr>
          <w:rFonts w:ascii="Times New Roman" w:hAnsi="Times New Roman" w:cs="Times New Roman"/>
        </w:rPr>
        <w:br/>
        <w:t xml:space="preserve">Approximately </w:t>
      </w:r>
      <w:r w:rsidRPr="00E6530F">
        <w:rPr>
          <w:rFonts w:ascii="Times New Roman" w:hAnsi="Times New Roman" w:cs="Times New Roman"/>
          <w:b/>
          <w:bCs/>
        </w:rPr>
        <w:t>$28M remains unrecovered</w:t>
      </w:r>
      <w:r w:rsidRPr="00E6530F">
        <w:rPr>
          <w:rFonts w:ascii="Times New Roman" w:hAnsi="Times New Roman" w:cs="Times New Roman"/>
        </w:rPr>
        <w:t>, indicating an opportunity for better risk screening and stricter credit evaluation.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2.3 Loan Status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5012"/>
      </w:tblGrid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Loan Status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Applications</w:t>
            </w:r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Fully Paid – 32,145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 xml:space="preserve">High-performing customers with clean credit </w:t>
            </w:r>
            <w:proofErr w:type="spellStart"/>
            <w:r w:rsidRPr="00E6530F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Current – 1,098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Active and performing borrowers</w:t>
            </w:r>
          </w:p>
        </w:tc>
      </w:tr>
      <w:tr w:rsidR="00E6530F" w:rsidRPr="00E6530F" w:rsidTr="00E6530F"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  <w:b/>
                <w:bCs/>
              </w:rPr>
              <w:t>Charged Off – 5,333</w:t>
            </w:r>
          </w:p>
        </w:tc>
        <w:tc>
          <w:tcPr>
            <w:tcW w:w="0" w:type="auto"/>
            <w:hideMark/>
          </w:tcPr>
          <w:p w:rsidR="00E6530F" w:rsidRPr="00E6530F" w:rsidRDefault="00E6530F" w:rsidP="00E6530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6530F">
              <w:rPr>
                <w:rFonts w:ascii="Times New Roman" w:hAnsi="Times New Roman" w:cs="Times New Roman"/>
              </w:rPr>
              <w:t>High-risk segment → main source of financial loss</w:t>
            </w:r>
          </w:p>
        </w:tc>
      </w:tr>
    </w:tbl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Insight:</w:t>
      </w:r>
      <w:r w:rsidRPr="00E6530F">
        <w:rPr>
          <w:rFonts w:ascii="Times New Roman" w:hAnsi="Times New Roman" w:cs="Times New Roman"/>
        </w:rPr>
        <w:br/>
        <w:t xml:space="preserve">Charged-off loans represent </w:t>
      </w:r>
      <w:r w:rsidRPr="00E6530F">
        <w:rPr>
          <w:rFonts w:ascii="Times New Roman" w:hAnsi="Times New Roman" w:cs="Times New Roman"/>
          <w:b/>
          <w:bCs/>
        </w:rPr>
        <w:t>13.8% of total loans</w:t>
      </w:r>
      <w:r w:rsidRPr="00E6530F">
        <w:rPr>
          <w:rFonts w:ascii="Times New Roman" w:hAnsi="Times New Roman" w:cs="Times New Roman"/>
        </w:rPr>
        <w:t>, matching the bad-loan proportion.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pict>
          <v:rect id="_x0000_i1100" style="width:0;height:1.5pt" o:hralign="center" o:hrstd="t" o:hr="t" fillcolor="#a0a0a0" stroked="f"/>
        </w:pict>
      </w:r>
    </w:p>
    <w:p w:rsidR="00E6530F" w:rsidRPr="00E6530F" w:rsidRDefault="00E6530F" w:rsidP="00E6530F">
      <w:pPr>
        <w:pStyle w:val="Heading2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3. Loan Application Trends &amp; Customer Segmentation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3.1 Monthly Trends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Loan applications show steady monthly growth:</w:t>
      </w:r>
    </w:p>
    <w:p w:rsidR="00E6530F" w:rsidRPr="00E6530F" w:rsidRDefault="00E6530F" w:rsidP="00E653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Jan → 2.3K</w:t>
      </w:r>
    </w:p>
    <w:p w:rsidR="00E6530F" w:rsidRPr="00E6530F" w:rsidRDefault="00E6530F" w:rsidP="00E653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Dec → 4.3K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Interpretation:</w:t>
      </w:r>
      <w:r w:rsidRPr="00E6530F">
        <w:rPr>
          <w:rFonts w:ascii="Times New Roman" w:hAnsi="Times New Roman" w:cs="Times New Roman"/>
        </w:rPr>
        <w:br/>
        <w:t>Demand for loans is increasing, suggesting:</w:t>
      </w:r>
    </w:p>
    <w:p w:rsidR="00E6530F" w:rsidRPr="00E6530F" w:rsidRDefault="00E6530F" w:rsidP="00E653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Strong market confidence</w:t>
      </w:r>
    </w:p>
    <w:p w:rsidR="00E6530F" w:rsidRPr="00E6530F" w:rsidRDefault="00E6530F" w:rsidP="00E653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Seasonal borrowing cycles (Q3–Q4 increases are typical)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3.2 State-Level Insights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Applications span across the U.S., with clusters in:</w:t>
      </w:r>
    </w:p>
    <w:p w:rsidR="00E6530F" w:rsidRPr="00E6530F" w:rsidRDefault="00E6530F" w:rsidP="00E653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California, Texas, Florida, New York, Georgia, Illinois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These regions should receive targeted marketing campaigns due to high loan volume.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3.3 Loan Purpose Insights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Top loan purposes:</w:t>
      </w:r>
    </w:p>
    <w:p w:rsidR="00E6530F" w:rsidRPr="00E6530F" w:rsidRDefault="00E6530F" w:rsidP="00E653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Debt Consolidation → 18K</w:t>
      </w:r>
    </w:p>
    <w:p w:rsidR="00E6530F" w:rsidRPr="00E6530F" w:rsidRDefault="00E6530F" w:rsidP="00E653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Credit Card → 5K</w:t>
      </w:r>
    </w:p>
    <w:p w:rsidR="00E6530F" w:rsidRPr="00E6530F" w:rsidRDefault="00E6530F" w:rsidP="00E653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Other → 4K</w:t>
      </w:r>
    </w:p>
    <w:p w:rsidR="00E6530F" w:rsidRPr="00E6530F" w:rsidRDefault="00E6530F" w:rsidP="00E653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Home Improvement → 3K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Insight:</w:t>
      </w:r>
      <w:r w:rsidRPr="00E6530F">
        <w:rPr>
          <w:rFonts w:ascii="Times New Roman" w:hAnsi="Times New Roman" w:cs="Times New Roman"/>
        </w:rPr>
        <w:br/>
        <w:t>Borrowers primarily use loans to manage existing debt, indicating:</w:t>
      </w:r>
    </w:p>
    <w:p w:rsidR="00E6530F" w:rsidRPr="00E6530F" w:rsidRDefault="00E6530F" w:rsidP="00E653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High credit card balances</w:t>
      </w:r>
    </w:p>
    <w:p w:rsidR="00E6530F" w:rsidRPr="00E6530F" w:rsidRDefault="00E6530F" w:rsidP="00E653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Demand for refinancing</w:t>
      </w:r>
    </w:p>
    <w:p w:rsidR="00E6530F" w:rsidRPr="00E6530F" w:rsidRDefault="00E6530F" w:rsidP="00E653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Opportunities for personal finance advisory services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3.4 Employee Length Analysis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Highest applications from:</w:t>
      </w:r>
    </w:p>
    <w:p w:rsidR="00E6530F" w:rsidRPr="00E6530F" w:rsidRDefault="00E6530F" w:rsidP="00E653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 xml:space="preserve">10+ </w:t>
      </w:r>
      <w:proofErr w:type="spellStart"/>
      <w:r w:rsidRPr="00E6530F">
        <w:rPr>
          <w:rFonts w:ascii="Times New Roman" w:hAnsi="Times New Roman" w:cs="Times New Roman"/>
          <w:b/>
          <w:bCs/>
        </w:rPr>
        <w:t>years experience</w:t>
      </w:r>
      <w:proofErr w:type="spellEnd"/>
      <w:r w:rsidRPr="00E6530F">
        <w:rPr>
          <w:rFonts w:ascii="Times New Roman" w:hAnsi="Times New Roman" w:cs="Times New Roman"/>
          <w:b/>
          <w:bCs/>
        </w:rPr>
        <w:t xml:space="preserve"> → 8.9K</w:t>
      </w:r>
    </w:p>
    <w:p w:rsidR="00E6530F" w:rsidRPr="00E6530F" w:rsidRDefault="00E6530F" w:rsidP="00E653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&lt;1 year → 4.6K</w:t>
      </w:r>
    </w:p>
    <w:p w:rsidR="00E6530F" w:rsidRPr="00E6530F" w:rsidRDefault="00E6530F" w:rsidP="00E653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2–3 years → 4.5K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Meaning:</w:t>
      </w:r>
      <w:r w:rsidRPr="00E6530F">
        <w:rPr>
          <w:rFonts w:ascii="Times New Roman" w:hAnsi="Times New Roman" w:cs="Times New Roman"/>
        </w:rPr>
        <w:br/>
        <w:t>Borrowers with longer employment stability are more creditworthy and should be prioritized for lower-interest loan offerings.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3.5 Loan Term</w:t>
      </w:r>
    </w:p>
    <w:p w:rsidR="00E6530F" w:rsidRPr="00E6530F" w:rsidRDefault="00E6530F" w:rsidP="00E653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60-month loans → 28K (73.2%)</w:t>
      </w:r>
    </w:p>
    <w:p w:rsidR="00E6530F" w:rsidRPr="00E6530F" w:rsidRDefault="00E6530F" w:rsidP="00E653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36-month loans → 10K (26.8%)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Interpretation:</w:t>
      </w:r>
      <w:r w:rsidRPr="00E6530F">
        <w:rPr>
          <w:rFonts w:ascii="Times New Roman" w:hAnsi="Times New Roman" w:cs="Times New Roman"/>
        </w:rPr>
        <w:br/>
        <w:t xml:space="preserve">Customers prefer </w:t>
      </w:r>
      <w:r w:rsidRPr="00E6530F">
        <w:rPr>
          <w:rFonts w:ascii="Times New Roman" w:hAnsi="Times New Roman" w:cs="Times New Roman"/>
          <w:b/>
          <w:bCs/>
        </w:rPr>
        <w:t>longer repayment periods</w:t>
      </w:r>
      <w:r w:rsidRPr="00E6530F">
        <w:rPr>
          <w:rFonts w:ascii="Times New Roman" w:hAnsi="Times New Roman" w:cs="Times New Roman"/>
        </w:rPr>
        <w:t>, reducing EMI burden and improving approval potential.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3.6 Home Ownership</w:t>
      </w:r>
    </w:p>
    <w:p w:rsidR="00E6530F" w:rsidRPr="00E6530F" w:rsidRDefault="00E6530F" w:rsidP="00E653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Rent → 18K</w:t>
      </w:r>
    </w:p>
    <w:p w:rsidR="00E6530F" w:rsidRPr="00E6530F" w:rsidRDefault="00E6530F" w:rsidP="00E653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Mortgage → 17K</w:t>
      </w:r>
    </w:p>
    <w:p w:rsidR="00E6530F" w:rsidRPr="00E6530F" w:rsidRDefault="00E6530F" w:rsidP="00E653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Own → minimal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  <w:b/>
          <w:bCs/>
        </w:rPr>
        <w:t>Insight:</w:t>
      </w:r>
      <w:r w:rsidRPr="00E6530F">
        <w:rPr>
          <w:rFonts w:ascii="Times New Roman" w:hAnsi="Times New Roman" w:cs="Times New Roman"/>
        </w:rPr>
        <w:br/>
        <w:t>Renters represent the largest applicant group — this is usually associated with higher credit risk and requires careful underwriting.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2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4. Business Impact Summary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Positive Indicators</w:t>
      </w:r>
    </w:p>
    <w:p w:rsidR="00E6530F" w:rsidRPr="00E6530F" w:rsidRDefault="00E6530F" w:rsidP="00E653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High volume of good loans (86.2%)</w:t>
      </w:r>
    </w:p>
    <w:p w:rsidR="00E6530F" w:rsidRPr="00E6530F" w:rsidRDefault="00E6530F" w:rsidP="00E653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Loan recovery exceeds funded amount</w:t>
      </w:r>
    </w:p>
    <w:p w:rsidR="00E6530F" w:rsidRPr="00E6530F" w:rsidRDefault="00E6530F" w:rsidP="00E653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Growing monthly loan demand</w:t>
      </w:r>
    </w:p>
    <w:p w:rsidR="00E6530F" w:rsidRPr="00E6530F" w:rsidRDefault="00E6530F" w:rsidP="00E653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Strong participation from customers with stable employment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Risk Indicators</w:t>
      </w:r>
    </w:p>
    <w:p w:rsidR="00E6530F" w:rsidRPr="00E6530F" w:rsidRDefault="00E6530F" w:rsidP="00E653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13.8% bad loans → financial loss concentrated among certain states and loan purposes</w:t>
      </w:r>
    </w:p>
    <w:p w:rsidR="00E6530F" w:rsidRPr="00E6530F" w:rsidRDefault="00E6530F" w:rsidP="00E653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Renters contribute a large share of applications → must be evaluated for credit risk</w:t>
      </w:r>
    </w:p>
    <w:p w:rsidR="00E6530F" w:rsidRPr="00E6530F" w:rsidRDefault="00E6530F" w:rsidP="00E653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Debt consolidation poses risk if not accompanied by income verification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2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5. Strategic Recommendations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5.1 Improve Credit Risk Controls</w:t>
      </w:r>
    </w:p>
    <w:p w:rsidR="00E6530F" w:rsidRPr="00E6530F" w:rsidRDefault="00E6530F" w:rsidP="00E653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 xml:space="preserve">Strengthen screening for </w:t>
      </w:r>
      <w:r w:rsidRPr="00E6530F">
        <w:rPr>
          <w:rFonts w:ascii="Times New Roman" w:hAnsi="Times New Roman" w:cs="Times New Roman"/>
          <w:b/>
          <w:bCs/>
        </w:rPr>
        <w:t>bad loan hotspots</w:t>
      </w:r>
    </w:p>
    <w:p w:rsidR="00E6530F" w:rsidRPr="00E6530F" w:rsidRDefault="00E6530F" w:rsidP="00E653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Enforce stricter verification for high-risk purposes (e.g., debt consolidation)</w:t>
      </w:r>
    </w:p>
    <w:p w:rsidR="00E6530F" w:rsidRPr="00E6530F" w:rsidRDefault="00E6530F" w:rsidP="00E653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Introduce risk-scoring enhancements using employment length &amp; DTI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5.2 Grow High-Value Customer Segments</w:t>
      </w:r>
    </w:p>
    <w:p w:rsidR="00E6530F" w:rsidRPr="00E6530F" w:rsidRDefault="00E6530F" w:rsidP="00E653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Offer preferential rates to stable employees (10+ years)</w:t>
      </w:r>
    </w:p>
    <w:p w:rsidR="00E6530F" w:rsidRPr="00E6530F" w:rsidRDefault="00E6530F" w:rsidP="00E653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Promote 36-month loans for improved cash turnover</w:t>
      </w:r>
    </w:p>
    <w:p w:rsidR="00E6530F" w:rsidRPr="00E6530F" w:rsidRDefault="00E6530F" w:rsidP="00E653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Target low-risk states with personalized campaigns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5.3 Reduce Loss from Charged-Off Loans</w:t>
      </w:r>
    </w:p>
    <w:p w:rsidR="00E6530F" w:rsidRPr="00E6530F" w:rsidRDefault="00E6530F" w:rsidP="00E653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Implement automated reminders</w:t>
      </w:r>
    </w:p>
    <w:p w:rsidR="00E6530F" w:rsidRPr="00E6530F" w:rsidRDefault="00E6530F" w:rsidP="00E653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Introduce early settlement discounts</w:t>
      </w:r>
    </w:p>
    <w:p w:rsidR="00E6530F" w:rsidRPr="00E6530F" w:rsidRDefault="00E6530F" w:rsidP="00E653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Use predictive analytics to identify borrowers likely to default</w:t>
      </w:r>
    </w:p>
    <w:p w:rsidR="00E6530F" w:rsidRPr="00E6530F" w:rsidRDefault="00E6530F" w:rsidP="00E6530F">
      <w:pPr>
        <w:pStyle w:val="Heading3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5.4 Expand Lending Profitability</w:t>
      </w:r>
    </w:p>
    <w:p w:rsidR="00E6530F" w:rsidRPr="00E6530F" w:rsidRDefault="00E6530F" w:rsidP="00E653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Introduce cross-sell opportunities: insurance, credit cards, refinancing</w:t>
      </w:r>
    </w:p>
    <w:p w:rsidR="00E6530F" w:rsidRPr="00E6530F" w:rsidRDefault="00E6530F" w:rsidP="00E653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Provide financial advisory services for debt consolidation borrowers</w:t>
      </w:r>
    </w:p>
    <w:p w:rsidR="00E6530F" w:rsidRPr="00E6530F" w:rsidRDefault="00E6530F" w:rsidP="00E653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Focus on customer retention through lower interest upgrades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</w:p>
    <w:p w:rsidR="00E6530F" w:rsidRPr="00E6530F" w:rsidRDefault="00E6530F" w:rsidP="00E6530F">
      <w:pPr>
        <w:pStyle w:val="Heading2"/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6. Conclusion</w:t>
      </w:r>
    </w:p>
    <w:p w:rsidR="00E6530F" w:rsidRPr="00E6530F" w:rsidRDefault="00E6530F" w:rsidP="00E6530F">
      <w:pPr>
        <w:rPr>
          <w:rFonts w:ascii="Times New Roman" w:hAnsi="Times New Roman" w:cs="Times New Roman"/>
        </w:rPr>
      </w:pPr>
      <w:r w:rsidRPr="00E6530F">
        <w:rPr>
          <w:rFonts w:ascii="Times New Roman" w:hAnsi="Times New Roman" w:cs="Times New Roman"/>
        </w:rPr>
        <w:t>The Bank Loan Dashboard clearly highlights the strengths of the lending portfolio, particularly strong repayment performance and high good-loan ratio.</w:t>
      </w:r>
      <w:r w:rsidRPr="00E6530F">
        <w:rPr>
          <w:rFonts w:ascii="Times New Roman" w:hAnsi="Times New Roman" w:cs="Times New Roman"/>
        </w:rPr>
        <w:br/>
        <w:t>At the same time, it identifies risk zones such as charged-off accounts, renters, and specific loan purposes. By implementing targeted underwriting improvements and customer segmentation strategies, the bank can significantly reduce losses and increase profitability.</w:t>
      </w:r>
    </w:p>
    <w:p w:rsidR="00191661" w:rsidRPr="00E6530F" w:rsidRDefault="00191661">
      <w:pPr>
        <w:rPr>
          <w:rFonts w:ascii="Times New Roman" w:hAnsi="Times New Roman" w:cs="Times New Roman"/>
        </w:rPr>
      </w:pPr>
    </w:p>
    <w:sectPr w:rsidR="00191661" w:rsidRPr="00E65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D42"/>
    <w:multiLevelType w:val="multilevel"/>
    <w:tmpl w:val="F80E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6A86"/>
    <w:multiLevelType w:val="multilevel"/>
    <w:tmpl w:val="C4D0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47229"/>
    <w:multiLevelType w:val="multilevel"/>
    <w:tmpl w:val="C0D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E704B"/>
    <w:multiLevelType w:val="multilevel"/>
    <w:tmpl w:val="5BE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599D"/>
    <w:multiLevelType w:val="multilevel"/>
    <w:tmpl w:val="644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074E"/>
    <w:multiLevelType w:val="multilevel"/>
    <w:tmpl w:val="BEB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D2CE9"/>
    <w:multiLevelType w:val="multilevel"/>
    <w:tmpl w:val="5A2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56215"/>
    <w:multiLevelType w:val="multilevel"/>
    <w:tmpl w:val="119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D498E"/>
    <w:multiLevelType w:val="multilevel"/>
    <w:tmpl w:val="17A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C7992"/>
    <w:multiLevelType w:val="multilevel"/>
    <w:tmpl w:val="5610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B2205"/>
    <w:multiLevelType w:val="multilevel"/>
    <w:tmpl w:val="7EC2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D0F"/>
    <w:multiLevelType w:val="multilevel"/>
    <w:tmpl w:val="660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211F7"/>
    <w:multiLevelType w:val="multilevel"/>
    <w:tmpl w:val="BC1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B64B4"/>
    <w:multiLevelType w:val="multilevel"/>
    <w:tmpl w:val="18D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907BD"/>
    <w:multiLevelType w:val="multilevel"/>
    <w:tmpl w:val="3A4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2129A"/>
    <w:multiLevelType w:val="multilevel"/>
    <w:tmpl w:val="C55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668160">
    <w:abstractNumId w:val="7"/>
  </w:num>
  <w:num w:numId="2" w16cid:durableId="813718757">
    <w:abstractNumId w:val="11"/>
  </w:num>
  <w:num w:numId="3" w16cid:durableId="1401294964">
    <w:abstractNumId w:val="2"/>
  </w:num>
  <w:num w:numId="4" w16cid:durableId="1260025705">
    <w:abstractNumId w:val="14"/>
  </w:num>
  <w:num w:numId="5" w16cid:durableId="1221788522">
    <w:abstractNumId w:val="9"/>
  </w:num>
  <w:num w:numId="6" w16cid:durableId="1500317135">
    <w:abstractNumId w:val="3"/>
  </w:num>
  <w:num w:numId="7" w16cid:durableId="2080324612">
    <w:abstractNumId w:val="15"/>
  </w:num>
  <w:num w:numId="8" w16cid:durableId="1346979231">
    <w:abstractNumId w:val="6"/>
  </w:num>
  <w:num w:numId="9" w16cid:durableId="32313542">
    <w:abstractNumId w:val="10"/>
  </w:num>
  <w:num w:numId="10" w16cid:durableId="1759477035">
    <w:abstractNumId w:val="8"/>
  </w:num>
  <w:num w:numId="11" w16cid:durableId="1874877062">
    <w:abstractNumId w:val="12"/>
  </w:num>
  <w:num w:numId="12" w16cid:durableId="1018043367">
    <w:abstractNumId w:val="1"/>
  </w:num>
  <w:num w:numId="13" w16cid:durableId="1717658628">
    <w:abstractNumId w:val="4"/>
  </w:num>
  <w:num w:numId="14" w16cid:durableId="741871717">
    <w:abstractNumId w:val="13"/>
  </w:num>
  <w:num w:numId="15" w16cid:durableId="1298026480">
    <w:abstractNumId w:val="5"/>
  </w:num>
  <w:num w:numId="16" w16cid:durableId="185796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0F"/>
    <w:rsid w:val="00191661"/>
    <w:rsid w:val="006975AD"/>
    <w:rsid w:val="007B5E16"/>
    <w:rsid w:val="00D14D63"/>
    <w:rsid w:val="00E6530F"/>
    <w:rsid w:val="00EC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E38A"/>
  <w15:chartTrackingRefBased/>
  <w15:docId w15:val="{976BE0FD-421F-4410-98F8-1FBCEED1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0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6530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6530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53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53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5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Rao</dc:creator>
  <cp:keywords/>
  <dc:description/>
  <cp:lastModifiedBy>Keerthana Rao</cp:lastModifiedBy>
  <cp:revision>1</cp:revision>
  <dcterms:created xsi:type="dcterms:W3CDTF">2025-12-07T12:40:00Z</dcterms:created>
  <dcterms:modified xsi:type="dcterms:W3CDTF">2025-12-07T12:43:00Z</dcterms:modified>
</cp:coreProperties>
</file>