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576" w:tblpY="1504"/>
        <w:tblW w:w="0" w:type="auto"/>
        <w:tblLook w:val="04A0"/>
      </w:tblPr>
      <w:tblGrid>
        <w:gridCol w:w="3533"/>
        <w:gridCol w:w="3533"/>
      </w:tblGrid>
      <w:tr w:rsidR="005D0869" w:rsidTr="005D0869">
        <w:trPr>
          <w:trHeight w:val="262"/>
        </w:trPr>
        <w:tc>
          <w:tcPr>
            <w:tcW w:w="3533" w:type="dxa"/>
          </w:tcPr>
          <w:p w:rsidR="005D0869" w:rsidRPr="005D0869" w:rsidRDefault="005D0869" w:rsidP="005D08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TEAM ID:</w:t>
            </w:r>
          </w:p>
        </w:tc>
        <w:tc>
          <w:tcPr>
            <w:tcW w:w="3533" w:type="dxa"/>
          </w:tcPr>
          <w:p w:rsidR="005D0869" w:rsidRPr="005D0869" w:rsidRDefault="005D0869" w:rsidP="005D08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NM2023TMID04432</w:t>
            </w:r>
          </w:p>
        </w:tc>
      </w:tr>
      <w:tr w:rsidR="005D0869" w:rsidTr="005D0869">
        <w:trPr>
          <w:trHeight w:val="262"/>
        </w:trPr>
        <w:tc>
          <w:tcPr>
            <w:tcW w:w="3533" w:type="dxa"/>
          </w:tcPr>
          <w:p w:rsidR="005D0869" w:rsidRPr="005D0869" w:rsidRDefault="005D0869" w:rsidP="005D08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NAME:</w:t>
            </w:r>
          </w:p>
        </w:tc>
        <w:tc>
          <w:tcPr>
            <w:tcW w:w="3533" w:type="dxa"/>
          </w:tcPr>
          <w:p w:rsidR="005D0869" w:rsidRPr="005D0869" w:rsidRDefault="005D0869" w:rsidP="005D08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AGRICULTURE DOCS CHAIN</w:t>
            </w:r>
          </w:p>
        </w:tc>
      </w:tr>
    </w:tbl>
    <w:p w:rsidR="005D0869" w:rsidRDefault="005D0869"/>
    <w:p w:rsidR="005D0869" w:rsidRPr="005D0869" w:rsidRDefault="005D0869" w:rsidP="005D0869"/>
    <w:p w:rsidR="005D0869" w:rsidRPr="005D0869" w:rsidRDefault="005D0869" w:rsidP="005D0869"/>
    <w:p w:rsidR="005D0869" w:rsidRPr="005D0869" w:rsidRDefault="005D0869" w:rsidP="005D0869"/>
    <w:p w:rsidR="005D0869" w:rsidRPr="005D0869" w:rsidRDefault="005D0869" w:rsidP="005D0869"/>
    <w:p w:rsidR="005D0869" w:rsidRPr="005D0869" w:rsidRDefault="005D0869" w:rsidP="005D0869"/>
    <w:p w:rsidR="005D0869" w:rsidRDefault="005D0869" w:rsidP="005D0869"/>
    <w:p w:rsidR="005D0869" w:rsidRPr="005D0869" w:rsidRDefault="005D0869" w:rsidP="005D0869">
      <w:pPr>
        <w:pStyle w:val="Heading3"/>
        <w:shd w:val="clear" w:color="auto" w:fill="FFFFFF"/>
        <w:spacing w:before="240" w:beforeAutospacing="0" w:after="150" w:afterAutospacing="0" w:line="450" w:lineRule="atLeast"/>
        <w:jc w:val="center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MODEL PERFORMANCE METRICS</w:t>
      </w:r>
    </w:p>
    <w:p w:rsidR="005D0869" w:rsidRPr="00720A6D" w:rsidRDefault="005D0869" w:rsidP="005D0869">
      <w:pPr>
        <w:tabs>
          <w:tab w:val="left" w:pos="1650"/>
        </w:tabs>
        <w:rPr>
          <w:sz w:val="36"/>
          <w:szCs w:val="36"/>
        </w:rPr>
      </w:pPr>
    </w:p>
    <w:p w:rsidR="00720A6D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>In economic terms, demand refers to the amount of service or good that a consumer is willing a</w:t>
      </w:r>
      <w:r w:rsidR="00720A6D">
        <w:rPr>
          <w:rFonts w:ascii="Verdana" w:hAnsi="Verdana"/>
          <w:color w:val="232323"/>
          <w:sz w:val="36"/>
          <w:szCs w:val="36"/>
        </w:rPr>
        <w:t>nd able to buy at a given price.</w:t>
      </w:r>
    </w:p>
    <w:p w:rsid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720A6D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>We describe here demand as a right of farmers to get information and support from public extension services to attain their sustainable livelihood and quality life.</w:t>
      </w:r>
    </w:p>
    <w:p w:rsid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720A6D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 xml:space="preserve">Literature suggests that farmers need a breadth of information appropriate technology, optimal use of inputs, changing farm system options, input </w:t>
      </w:r>
      <w:proofErr w:type="gramStart"/>
      <w:r w:rsidRPr="00720A6D">
        <w:rPr>
          <w:rFonts w:ascii="Verdana" w:hAnsi="Verdana"/>
          <w:color w:val="232323"/>
          <w:sz w:val="36"/>
          <w:szCs w:val="36"/>
        </w:rPr>
        <w:t>suppliers</w:t>
      </w:r>
      <w:proofErr w:type="gramEnd"/>
      <w:r w:rsidRPr="00720A6D">
        <w:rPr>
          <w:rFonts w:ascii="Verdana" w:hAnsi="Verdana"/>
          <w:color w:val="232323"/>
          <w:sz w:val="36"/>
          <w:szCs w:val="36"/>
        </w:rPr>
        <w:t>, intermediaries, quality specification, market and trade, time to buy inputs and sell produce, off farm generation options, implication of changing policy access to credit and loans etc.</w:t>
      </w:r>
    </w:p>
    <w:p w:rsid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5D0869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 xml:space="preserve">Moreover, Supply, refers to the extension services that are provided in response of farmers’ demand, mostly publically driven, facilitate farm households with scientific, technical, marketing and administrative information for a better decision making by farmer along the </w:t>
      </w:r>
      <w:proofErr w:type="spellStart"/>
      <w:r w:rsidRPr="00720A6D">
        <w:rPr>
          <w:rFonts w:ascii="Verdana" w:hAnsi="Verdana"/>
          <w:color w:val="232323"/>
          <w:sz w:val="36"/>
          <w:szCs w:val="36"/>
        </w:rPr>
        <w:t>agri</w:t>
      </w:r>
      <w:proofErr w:type="spellEnd"/>
      <w:r w:rsidRPr="00720A6D">
        <w:rPr>
          <w:rFonts w:ascii="Verdana" w:hAnsi="Verdana"/>
          <w:color w:val="232323"/>
          <w:sz w:val="36"/>
          <w:szCs w:val="36"/>
        </w:rPr>
        <w:t>-supply chain.</w:t>
      </w:r>
    </w:p>
    <w:p w:rsid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720A6D" w:rsidRP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720A6D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 xml:space="preserve">The broad view of agriculture extension is conceptualized in the framework that includes </w:t>
      </w:r>
      <w:proofErr w:type="gramStart"/>
      <w:r w:rsidRPr="00720A6D">
        <w:rPr>
          <w:rFonts w:ascii="Verdana" w:hAnsi="Verdana"/>
          <w:color w:val="232323"/>
          <w:sz w:val="36"/>
          <w:szCs w:val="36"/>
        </w:rPr>
        <w:t>an interplay</w:t>
      </w:r>
      <w:proofErr w:type="gramEnd"/>
      <w:r w:rsidRPr="00720A6D">
        <w:rPr>
          <w:rFonts w:ascii="Verdana" w:hAnsi="Verdana"/>
          <w:color w:val="232323"/>
          <w:sz w:val="36"/>
          <w:szCs w:val="36"/>
        </w:rPr>
        <w:t xml:space="preserve"> of Social system and Environmental system along with the Technical System as shown in </w:t>
      </w:r>
      <w:hyperlink r:id="rId5" w:anchor="f3" w:tgtFrame="_self" w:history="1">
        <w:r w:rsidRPr="00720A6D">
          <w:rPr>
            <w:rStyle w:val="Hyperlink"/>
            <w:rFonts w:ascii="Verdana" w:hAnsi="Verdana"/>
            <w:color w:val="0B4FA7"/>
            <w:sz w:val="36"/>
            <w:szCs w:val="36"/>
          </w:rPr>
          <w:t>Figure 3</w:t>
        </w:r>
      </w:hyperlink>
      <w:r w:rsidRPr="00720A6D">
        <w:rPr>
          <w:rFonts w:ascii="Verdana" w:hAnsi="Verdana"/>
          <w:color w:val="232323"/>
          <w:sz w:val="36"/>
          <w:szCs w:val="36"/>
        </w:rPr>
        <w:t>.</w:t>
      </w:r>
    </w:p>
    <w:p w:rsid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720A6D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>The Technical System consists of the tools, techniques, artifacts, methods, configurations, procedures, and knowledge used by Extension Services driving actors/members to acquire inputs, transform inputs into outputs or services for consumers or beneficiaries.</w:t>
      </w:r>
    </w:p>
    <w:p w:rsid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720A6D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 xml:space="preserve">The Social System comprises of the people who are part of the system directly or indirectly and all that is human about their presence, such as attitudes, beliefs, </w:t>
      </w:r>
      <w:r w:rsidRPr="00720A6D">
        <w:rPr>
          <w:rFonts w:ascii="Verdana" w:hAnsi="Verdana"/>
          <w:color w:val="232323"/>
          <w:sz w:val="36"/>
          <w:szCs w:val="36"/>
        </w:rPr>
        <w:lastRenderedPageBreak/>
        <w:t>relations, cultures, norms, politics, behaviors, and emotions.</w:t>
      </w:r>
    </w:p>
    <w:p w:rsidR="00720A6D" w:rsidRDefault="00720A6D" w:rsidP="00720A6D">
      <w:pPr>
        <w:pStyle w:val="ListParagraph"/>
        <w:rPr>
          <w:rFonts w:ascii="Verdana" w:hAnsi="Verdana"/>
          <w:color w:val="232323"/>
          <w:sz w:val="36"/>
          <w:szCs w:val="36"/>
        </w:rPr>
      </w:pPr>
    </w:p>
    <w:p w:rsidR="00720A6D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 xml:space="preserve"> Community organization theory emphasizes on active participation and developing communities that can better evaluate and solve social </w:t>
      </w:r>
      <w:proofErr w:type="gramStart"/>
      <w:r w:rsidRPr="00720A6D">
        <w:rPr>
          <w:rFonts w:ascii="Verdana" w:hAnsi="Verdana"/>
          <w:color w:val="232323"/>
          <w:sz w:val="36"/>
          <w:szCs w:val="36"/>
        </w:rPr>
        <w:t xml:space="preserve">problems </w:t>
      </w:r>
      <w:r w:rsidR="00720A6D">
        <w:rPr>
          <w:rFonts w:ascii="Verdana" w:hAnsi="Verdana"/>
          <w:color w:val="232323"/>
          <w:sz w:val="36"/>
          <w:szCs w:val="36"/>
        </w:rPr>
        <w:t>.</w:t>
      </w:r>
      <w:proofErr w:type="gramEnd"/>
      <w:r w:rsidR="00720A6D">
        <w:rPr>
          <w:rFonts w:ascii="Verdana" w:hAnsi="Verdana"/>
          <w:color w:val="232323"/>
          <w:sz w:val="36"/>
          <w:szCs w:val="36"/>
        </w:rPr>
        <w:t xml:space="preserve"> </w:t>
      </w:r>
    </w:p>
    <w:p w:rsidR="00720A6D" w:rsidRDefault="00720A6D" w:rsidP="00720A6D">
      <w:pPr>
        <w:pStyle w:val="ListParagraph"/>
        <w:rPr>
          <w:rFonts w:ascii="Verdana" w:hAnsi="Verdana"/>
          <w:color w:val="232323"/>
          <w:sz w:val="36"/>
          <w:szCs w:val="36"/>
        </w:rPr>
      </w:pPr>
    </w:p>
    <w:p w:rsidR="00720A6D" w:rsidRPr="00720A6D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 xml:space="preserve"> Environmental System is a connector between social and technical systems where a regulated relevant environment is created by Environment system that </w:t>
      </w:r>
      <w:proofErr w:type="gramStart"/>
      <w:r w:rsidRPr="00720A6D">
        <w:rPr>
          <w:rFonts w:ascii="Verdana" w:hAnsi="Verdana"/>
          <w:color w:val="232323"/>
          <w:sz w:val="36"/>
          <w:szCs w:val="36"/>
        </w:rPr>
        <w:t>includes,</w:t>
      </w:r>
      <w:proofErr w:type="gramEnd"/>
      <w:r w:rsidRPr="00720A6D">
        <w:rPr>
          <w:rFonts w:ascii="Verdana" w:hAnsi="Verdana"/>
          <w:color w:val="232323"/>
          <w:sz w:val="36"/>
          <w:szCs w:val="36"/>
        </w:rPr>
        <w:t xml:space="preserve"> government initiatives and support, policy and regulation, infrastructure, journalism &amp; media, etc.</w:t>
      </w:r>
    </w:p>
    <w:p w:rsid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5D0869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 xml:space="preserve">The policy makers require </w:t>
      </w:r>
      <w:proofErr w:type="gramStart"/>
      <w:r w:rsidRPr="00720A6D">
        <w:rPr>
          <w:rFonts w:ascii="Verdana" w:hAnsi="Verdana"/>
          <w:color w:val="232323"/>
          <w:sz w:val="36"/>
          <w:szCs w:val="36"/>
        </w:rPr>
        <w:t>to align</w:t>
      </w:r>
      <w:proofErr w:type="gramEnd"/>
      <w:r w:rsidRPr="00720A6D">
        <w:rPr>
          <w:rFonts w:ascii="Verdana" w:hAnsi="Verdana"/>
          <w:color w:val="232323"/>
          <w:sz w:val="36"/>
          <w:szCs w:val="36"/>
        </w:rPr>
        <w:t xml:space="preserve"> conducive environment to pursue strategies, select resources, and implement technologies.</w:t>
      </w:r>
    </w:p>
    <w:p w:rsidR="00720A6D" w:rsidRP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720A6D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t xml:space="preserve">Government initiatives and reforms can be evaluated in terms of efficiency, </w:t>
      </w:r>
      <w:proofErr w:type="gramStart"/>
      <w:r w:rsidRPr="00720A6D">
        <w:rPr>
          <w:rFonts w:ascii="Verdana" w:hAnsi="Verdana"/>
          <w:color w:val="232323"/>
          <w:sz w:val="36"/>
          <w:szCs w:val="36"/>
        </w:rPr>
        <w:t>effectiveness</w:t>
      </w:r>
      <w:proofErr w:type="gramEnd"/>
      <w:r w:rsidRPr="00720A6D">
        <w:rPr>
          <w:rFonts w:ascii="Verdana" w:hAnsi="Verdana"/>
          <w:color w:val="232323"/>
          <w:sz w:val="36"/>
          <w:szCs w:val="36"/>
        </w:rPr>
        <w:t xml:space="preserve"> and long term sustainability of provided service, quality level and level of farmers’ involvement.</w:t>
      </w:r>
    </w:p>
    <w:p w:rsid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720A6D" w:rsidRDefault="005D0869" w:rsidP="00720A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  <w:r w:rsidRPr="00720A6D">
        <w:rPr>
          <w:rFonts w:ascii="Verdana" w:hAnsi="Verdana"/>
          <w:color w:val="232323"/>
          <w:sz w:val="36"/>
          <w:szCs w:val="36"/>
        </w:rPr>
        <w:lastRenderedPageBreak/>
        <w:t>The performance measurement and improvement initiatives require decomposition of the supply (what is provided) and demand (what was expected) components of extension services.</w:t>
      </w:r>
    </w:p>
    <w:p w:rsidR="00720A6D" w:rsidRDefault="00720A6D" w:rsidP="00720A6D">
      <w:pPr>
        <w:pStyle w:val="ListParagraph"/>
      </w:pPr>
    </w:p>
    <w:p w:rsidR="005D0869" w:rsidRDefault="00720A6D" w:rsidP="00720A6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color w:val="232323"/>
          <w:sz w:val="36"/>
          <w:szCs w:val="36"/>
        </w:rPr>
      </w:pPr>
      <w:r w:rsidRPr="00720A6D">
        <w:t xml:space="preserve"> </w:t>
      </w:r>
      <w:r>
        <w:rPr>
          <w:noProof/>
        </w:rPr>
        <w:drawing>
          <wp:inline distT="0" distB="0" distL="0" distR="0">
            <wp:extent cx="5257800" cy="3228975"/>
            <wp:effectExtent l="19050" t="0" r="0" b="0"/>
            <wp:docPr id="1" name="Picture 1" descr="https://html.scirp.org/file/4-1501792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.scirp.org/file/4-1501792x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A6D" w:rsidRPr="00720A6D" w:rsidRDefault="00720A6D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6"/>
          <w:szCs w:val="36"/>
        </w:rPr>
      </w:pPr>
    </w:p>
    <w:p w:rsidR="005D0869" w:rsidRPr="00720A6D" w:rsidRDefault="005D0869" w:rsidP="005D08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75"/>
        <w:gridCol w:w="8685"/>
      </w:tblGrid>
      <w:tr w:rsidR="00720A6D" w:rsidRPr="00720A6D" w:rsidTr="00720A6D">
        <w:tc>
          <w:tcPr>
            <w:tcW w:w="675" w:type="dxa"/>
            <w:shd w:val="clear" w:color="auto" w:fill="FFFFFF"/>
            <w:hideMark/>
          </w:tcPr>
          <w:p w:rsidR="00720A6D" w:rsidRPr="00720A6D" w:rsidRDefault="00720A6D" w:rsidP="00720A6D">
            <w:pPr>
              <w:spacing w:after="0" w:line="240" w:lineRule="auto"/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</w:pPr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[</w:t>
            </w:r>
            <w:hyperlink r:id="rId7" w:tgtFrame="_blank" w:history="1">
              <w:r w:rsidRPr="00720A6D">
                <w:rPr>
                  <w:rFonts w:ascii="Verdana" w:eastAsia="Times New Roman" w:hAnsi="Verdana" w:cs="Times New Roman"/>
                  <w:color w:val="0B4FA7"/>
                  <w:sz w:val="32"/>
                  <w:szCs w:val="32"/>
                </w:rPr>
                <w:t>1</w:t>
              </w:r>
            </w:hyperlink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]</w:t>
            </w:r>
          </w:p>
        </w:tc>
        <w:tc>
          <w:tcPr>
            <w:tcW w:w="0" w:type="auto"/>
            <w:shd w:val="clear" w:color="auto" w:fill="FFFFFF"/>
            <w:hideMark/>
          </w:tcPr>
          <w:p w:rsidR="00720A6D" w:rsidRDefault="00720A6D" w:rsidP="00720A6D">
            <w:pPr>
              <w:spacing w:after="0" w:line="240" w:lineRule="auto"/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</w:pPr>
            <w:bookmarkStart w:id="0" w:name="ref1"/>
            <w:bookmarkEnd w:id="0"/>
            <w:proofErr w:type="spellStart"/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Hegde</w:t>
            </w:r>
            <w:proofErr w:type="spellEnd"/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, N.G. (2005) Traditional Extension Methods in Modern Agriculture. Indian Farming Special Issue on World Food Day, 45-47.</w:t>
            </w:r>
          </w:p>
          <w:p w:rsidR="00720A6D" w:rsidRPr="00720A6D" w:rsidRDefault="00720A6D" w:rsidP="00720A6D">
            <w:pPr>
              <w:spacing w:after="0" w:line="240" w:lineRule="auto"/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</w:pPr>
          </w:p>
        </w:tc>
      </w:tr>
      <w:tr w:rsidR="00720A6D" w:rsidRPr="00720A6D" w:rsidTr="00720A6D">
        <w:tc>
          <w:tcPr>
            <w:tcW w:w="675" w:type="dxa"/>
            <w:shd w:val="clear" w:color="auto" w:fill="FFFFFF"/>
            <w:hideMark/>
          </w:tcPr>
          <w:p w:rsidR="00720A6D" w:rsidRPr="00720A6D" w:rsidRDefault="00720A6D" w:rsidP="00720A6D">
            <w:pPr>
              <w:spacing w:after="0" w:line="240" w:lineRule="auto"/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</w:pPr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[</w:t>
            </w:r>
            <w:hyperlink r:id="rId8" w:tgtFrame="_blank" w:history="1">
              <w:r w:rsidRPr="00720A6D">
                <w:rPr>
                  <w:rFonts w:ascii="Verdana" w:eastAsia="Times New Roman" w:hAnsi="Verdana" w:cs="Times New Roman"/>
                  <w:color w:val="0B4FA7"/>
                  <w:sz w:val="32"/>
                  <w:szCs w:val="32"/>
                </w:rPr>
                <w:t>2</w:t>
              </w:r>
            </w:hyperlink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]</w:t>
            </w:r>
          </w:p>
        </w:tc>
        <w:tc>
          <w:tcPr>
            <w:tcW w:w="0" w:type="auto"/>
            <w:shd w:val="clear" w:color="auto" w:fill="FFFFFF"/>
            <w:hideMark/>
          </w:tcPr>
          <w:p w:rsidR="00720A6D" w:rsidRDefault="00720A6D" w:rsidP="00720A6D">
            <w:pPr>
              <w:spacing w:after="0" w:line="240" w:lineRule="auto"/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</w:pPr>
            <w:bookmarkStart w:id="1" w:name="ref2"/>
            <w:bookmarkEnd w:id="1"/>
            <w:proofErr w:type="spellStart"/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Bhusan</w:t>
            </w:r>
            <w:proofErr w:type="spellEnd"/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 xml:space="preserve">, S. and </w:t>
            </w:r>
            <w:proofErr w:type="spellStart"/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Tirupati</w:t>
            </w:r>
            <w:proofErr w:type="spellEnd"/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, D. (2013) System Dynamics Investigation of Capacity Building by Humanitarian Supply Chain in Disaster Prone Eco-Communities of India. Working Paper No. 416, Supply Chain Center, IIM, Bangalore.</w:t>
            </w:r>
          </w:p>
          <w:p w:rsidR="00720A6D" w:rsidRPr="00720A6D" w:rsidRDefault="00720A6D" w:rsidP="00720A6D">
            <w:pPr>
              <w:spacing w:after="0" w:line="240" w:lineRule="auto"/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</w:pPr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lastRenderedPageBreak/>
              <w:br/>
              <w:t>https://doi.org/10.2139/ssrn.2303641</w:t>
            </w:r>
          </w:p>
        </w:tc>
      </w:tr>
      <w:tr w:rsidR="00720A6D" w:rsidRPr="00720A6D" w:rsidTr="00720A6D">
        <w:tc>
          <w:tcPr>
            <w:tcW w:w="675" w:type="dxa"/>
            <w:shd w:val="clear" w:color="auto" w:fill="FFFFFF"/>
            <w:hideMark/>
          </w:tcPr>
          <w:p w:rsidR="00720A6D" w:rsidRPr="00720A6D" w:rsidRDefault="00720A6D" w:rsidP="00720A6D">
            <w:pPr>
              <w:spacing w:after="0" w:line="240" w:lineRule="auto"/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</w:pPr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lastRenderedPageBreak/>
              <w:t>[</w:t>
            </w:r>
            <w:hyperlink r:id="rId9" w:tgtFrame="_blank" w:history="1">
              <w:r w:rsidRPr="00720A6D">
                <w:rPr>
                  <w:rFonts w:ascii="Verdana" w:eastAsia="Times New Roman" w:hAnsi="Verdana" w:cs="Times New Roman"/>
                  <w:color w:val="0B4FA7"/>
                  <w:sz w:val="32"/>
                  <w:szCs w:val="32"/>
                </w:rPr>
                <w:t>3</w:t>
              </w:r>
            </w:hyperlink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]</w:t>
            </w:r>
          </w:p>
        </w:tc>
        <w:tc>
          <w:tcPr>
            <w:tcW w:w="0" w:type="auto"/>
            <w:shd w:val="clear" w:color="auto" w:fill="FFFFFF"/>
            <w:hideMark/>
          </w:tcPr>
          <w:p w:rsidR="00720A6D" w:rsidRPr="00720A6D" w:rsidRDefault="00720A6D" w:rsidP="00720A6D">
            <w:pPr>
              <w:spacing w:after="0" w:line="240" w:lineRule="auto"/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</w:pPr>
            <w:bookmarkStart w:id="2" w:name="ref3"/>
            <w:bookmarkEnd w:id="2"/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 xml:space="preserve">Davis, K., </w:t>
            </w:r>
            <w:proofErr w:type="spellStart"/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Babu</w:t>
            </w:r>
            <w:proofErr w:type="spellEnd"/>
            <w:r w:rsidRPr="00720A6D">
              <w:rPr>
                <w:rFonts w:ascii="Verdana" w:eastAsia="Times New Roman" w:hAnsi="Verdana" w:cs="Times New Roman"/>
                <w:color w:val="232323"/>
                <w:sz w:val="32"/>
                <w:szCs w:val="32"/>
              </w:rPr>
              <w:t>, S.C. and Sylvia, B. (2014) The Role of Extension and Advisory Services in Building Resilience of Smallholder Farmers. Building Resilience for Food and Nutrition Security, Addis Ababa, 15-17 May 2014, 2020 Resilience Conference Brief 13, 1-4.</w:t>
            </w:r>
          </w:p>
        </w:tc>
      </w:tr>
    </w:tbl>
    <w:p w:rsidR="0008564E" w:rsidRPr="00720A6D" w:rsidRDefault="0008564E" w:rsidP="005D0869">
      <w:pPr>
        <w:tabs>
          <w:tab w:val="left" w:pos="1650"/>
        </w:tabs>
        <w:rPr>
          <w:sz w:val="36"/>
          <w:szCs w:val="36"/>
        </w:rPr>
      </w:pPr>
    </w:p>
    <w:sectPr w:rsidR="0008564E" w:rsidRPr="00720A6D" w:rsidSect="0008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177E0"/>
    <w:multiLevelType w:val="hybridMultilevel"/>
    <w:tmpl w:val="337C67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869"/>
    <w:rsid w:val="0008564E"/>
    <w:rsid w:val="005D0869"/>
    <w:rsid w:val="00720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4E"/>
  </w:style>
  <w:style w:type="paragraph" w:styleId="Heading3">
    <w:name w:val="heading 3"/>
    <w:basedOn w:val="Normal"/>
    <w:link w:val="Heading3Char"/>
    <w:uiPriority w:val="9"/>
    <w:qFormat/>
    <w:rsid w:val="005D0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D08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D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0869"/>
    <w:rPr>
      <w:color w:val="0000FF"/>
      <w:u w:val="single"/>
    </w:rPr>
  </w:style>
  <w:style w:type="character" w:customStyle="1" w:styleId="mi">
    <w:name w:val="mi"/>
    <w:basedOn w:val="DefaultParagraphFont"/>
    <w:rsid w:val="005D0869"/>
  </w:style>
  <w:style w:type="character" w:customStyle="1" w:styleId="mo">
    <w:name w:val="mo"/>
    <w:basedOn w:val="DefaultParagraphFont"/>
    <w:rsid w:val="005D0869"/>
  </w:style>
  <w:style w:type="character" w:customStyle="1" w:styleId="mjxassistivemathml">
    <w:name w:val="mjx_assistive_mathml"/>
    <w:basedOn w:val="DefaultParagraphFont"/>
    <w:rsid w:val="005D0869"/>
  </w:style>
  <w:style w:type="character" w:customStyle="1" w:styleId="mn">
    <w:name w:val="mn"/>
    <w:basedOn w:val="DefaultParagraphFont"/>
    <w:rsid w:val="005D0869"/>
  </w:style>
  <w:style w:type="character" w:customStyle="1" w:styleId="mtext">
    <w:name w:val="mtext"/>
    <w:basedOn w:val="DefaultParagraphFont"/>
    <w:rsid w:val="005D0869"/>
  </w:style>
  <w:style w:type="paragraph" w:styleId="BalloonText">
    <w:name w:val="Balloon Text"/>
    <w:basedOn w:val="Normal"/>
    <w:link w:val="BalloonTextChar"/>
    <w:uiPriority w:val="99"/>
    <w:semiHidden/>
    <w:unhideWhenUsed/>
    <w:rsid w:val="00720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A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reference/referencespapers.aspx?referenceid=25148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rp.org/reference/referencespapers.aspx?referenceid=25148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cirp.org/journal/paperinformation.aspx?paperid=926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rp.org/reference/referencespapers.aspx?referenceid=25148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2023-11-04T06:24:00Z</dcterms:created>
  <dcterms:modified xsi:type="dcterms:W3CDTF">2023-11-04T06:42:00Z</dcterms:modified>
</cp:coreProperties>
</file>