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240"/>
        <w:jc w:val="center"/>
      </w:pPr>
      <w:r>
        <w:rPr>
          <w:rFonts w:ascii="Calibri" w:hAnsi="Calibri"/>
          <w:b/>
          <w:color w:val="1A0538"/>
          <w:sz w:val="44"/>
        </w:rPr>
        <w:t>Internship Final Report</w:t>
      </w:r>
    </w:p>
    <w:p>
      <w:pPr>
        <w:spacing w:before="80" w:after="320" w:line="300" w:lineRule="auto"/>
      </w:pPr>
      <w:r>
        <w:rPr>
          <w:rFonts w:ascii="Calibri" w:hAnsi="Calibri"/>
          <w:b/>
          <w:color w:val="0F172A"/>
          <w:sz w:val="22"/>
        </w:rPr>
        <w:t xml:space="preserve">Student Name: </w:t>
      </w:r>
      <w:r>
        <w:rPr>
          <w:rFonts w:ascii="Calibri" w:hAnsi="Calibri"/>
          <w:b w:val="0"/>
          <w:color w:val="334155"/>
          <w:sz w:val="22"/>
        </w:rPr>
        <w:t>Keerthana V</w:t>
        <w:br/>
      </w:r>
      <w:r>
        <w:rPr>
          <w:rFonts w:ascii="Calibri" w:hAnsi="Calibri"/>
          <w:b/>
          <w:color w:val="0F172A"/>
          <w:sz w:val="22"/>
        </w:rPr>
        <w:t xml:space="preserve">University / College: </w:t>
      </w:r>
      <w:r>
        <w:rPr>
          <w:rFonts w:ascii="Calibri" w:hAnsi="Calibri"/>
          <w:b w:val="0"/>
          <w:color w:val="334155"/>
          <w:sz w:val="22"/>
        </w:rPr>
        <w:t>HKBK College of Engineering</w:t>
        <w:br/>
      </w:r>
      <w:r>
        <w:rPr>
          <w:rFonts w:ascii="Calibri" w:hAnsi="Calibri"/>
          <w:b/>
          <w:color w:val="0F172A"/>
          <w:sz w:val="22"/>
        </w:rPr>
        <w:t xml:space="preserve">Internship Duration: </w:t>
      </w:r>
      <w:r>
        <w:rPr>
          <w:rFonts w:ascii="Calibri" w:hAnsi="Calibri"/>
          <w:b w:val="0"/>
          <w:color w:val="334155"/>
          <w:sz w:val="22"/>
        </w:rPr>
        <w:t>August 1st, 2026 – August 31st, 2026 (1 Month)</w:t>
        <w:br/>
      </w:r>
      <w:r>
        <w:rPr>
          <w:rFonts w:ascii="Calibri" w:hAnsi="Calibri"/>
          <w:b/>
          <w:color w:val="0F172A"/>
          <w:sz w:val="22"/>
        </w:rPr>
        <w:t xml:space="preserve">Company: </w:t>
      </w:r>
      <w:r>
        <w:rPr>
          <w:rFonts w:ascii="Calibri" w:hAnsi="Calibri"/>
          <w:b w:val="0"/>
          <w:color w:val="334155"/>
          <w:sz w:val="22"/>
        </w:rPr>
        <w:t>ShadowFox</w:t>
        <w:br/>
      </w:r>
      <w:r>
        <w:rPr>
          <w:rFonts w:ascii="Calibri" w:hAnsi="Calibri"/>
          <w:b/>
          <w:color w:val="0F172A"/>
          <w:sz w:val="22"/>
        </w:rPr>
        <w:t xml:space="preserve">Role: </w:t>
      </w:r>
      <w:r>
        <w:rPr>
          <w:rFonts w:ascii="Calibri" w:hAnsi="Calibri"/>
          <w:b w:val="0"/>
          <w:color w:val="334155"/>
          <w:sz w:val="22"/>
        </w:rPr>
        <w:t>Data Analyst Intern</w:t>
        <w:br/>
      </w:r>
      <w:r>
        <w:rPr>
          <w:rFonts w:ascii="Calibri" w:hAnsi="Calibri"/>
          <w:b/>
          <w:color w:val="0F172A"/>
          <w:sz w:val="22"/>
        </w:rPr>
        <w:t xml:space="preserve">Mentor: </w:t>
      </w:r>
      <w:r>
        <w:rPr>
          <w:rFonts w:ascii="Calibri" w:hAnsi="Calibri"/>
          <w:b w:val="0"/>
          <w:color w:val="334155"/>
          <w:sz w:val="22"/>
        </w:rPr>
        <w:t>Mr. Aakash</w:t>
        <w:br/>
      </w:r>
      <w:r>
        <w:rPr>
          <w:rFonts w:ascii="Calibri" w:hAnsi="Calibri"/>
          <w:b/>
          <w:color w:val="0F172A"/>
          <w:sz w:val="22"/>
        </w:rPr>
        <w:t xml:space="preserve">GitHub Repository: </w:t>
      </w:r>
      <w:r>
        <w:rPr>
          <w:rFonts w:ascii="Calibri" w:hAnsi="Calibri"/>
          <w:b w:val="0"/>
          <w:color w:val="334155"/>
          <w:sz w:val="22"/>
        </w:rPr>
        <w:t>https://github.com/Keerthanagowda42/ShadowFox_Data_Analyst_Internship</w:t>
        <w:br/>
      </w:r>
    </w:p>
    <w:p>
      <w:pPr>
        <w:keepNext/>
        <w:spacing w:before="360" w:after="160"/>
      </w:pPr>
      <w:r>
        <w:rPr>
          <w:rFonts w:ascii="Calibri" w:hAnsi="Calibri"/>
          <w:b/>
          <w:color w:val="1A0538"/>
          <w:sz w:val="28"/>
        </w:rPr>
        <w:t>Objectives</w:t>
      </w:r>
    </w:p>
    <w:p>
      <w:pPr>
        <w:spacing w:before="40" w:after="120" w:line="276" w:lineRule="auto"/>
        <w:jc w:val="both"/>
      </w:pPr>
      <w:r>
        <w:rPr>
          <w:rFonts w:ascii="Calibri" w:hAnsi="Calibri"/>
          <w:color w:val="334155"/>
          <w:sz w:val="22"/>
        </w:rPr>
        <w:t>The primary objective of the ShadowFox Data Analyst Internship was to gain comprehensive, hands-on industry experience by solving real-world, data-intensive business problems. The internship program was structured across three progressively challenging tiers—Beginner, Intermediate, and Advanced—designed to bridge the gap between theoretical data science concepts and enterprise-grade business intelligence applications.</w:t>
      </w:r>
    </w:p>
    <w:p>
      <w:pPr>
        <w:spacing w:before="40" w:after="120" w:line="276" w:lineRule="auto"/>
        <w:jc w:val="both"/>
      </w:pPr>
      <w:r>
        <w:rPr>
          <w:rFonts w:ascii="Calibri" w:hAnsi="Calibri"/>
          <w:b/>
          <w:color w:val="0F172A"/>
          <w:sz w:val="22"/>
        </w:rPr>
        <w:t xml:space="preserve">Key Program Goals: </w:t>
      </w:r>
      <w:r>
        <w:rPr>
          <w:rFonts w:ascii="Calibri" w:hAnsi="Calibri"/>
          <w:color w:val="334155"/>
          <w:sz w:val="22"/>
        </w:rPr>
        <w:t>The foundational objectives established for the internship tenure encompassed:</w:t>
      </w:r>
    </w:p>
    <w:p>
      <w:pPr>
        <w:spacing w:before="20" w:after="60" w:line="276" w:lineRule="auto"/>
        <w:ind w:left="360" w:hanging="216"/>
        <w:jc w:val="both"/>
      </w:pPr>
      <w:r>
        <w:rPr>
          <w:rFonts w:ascii="Calibri" w:hAnsi="Calibri"/>
          <w:b/>
          <w:color w:val="008080"/>
          <w:sz w:val="19"/>
        </w:rPr>
        <w:t xml:space="preserve">▪  </w:t>
      </w:r>
      <w:r>
        <w:rPr>
          <w:rFonts w:ascii="Calibri" w:hAnsi="Calibri"/>
          <w:b/>
          <w:color w:val="0F172A"/>
          <w:sz w:val="21"/>
        </w:rPr>
        <w:t xml:space="preserve">Automated Data Cleaning &amp; Auditing: </w:t>
      </w:r>
      <w:r>
        <w:rPr>
          <w:rFonts w:ascii="Calibri" w:hAnsi="Calibri"/>
          <w:color w:val="334155"/>
          <w:sz w:val="21"/>
        </w:rPr>
        <w:t xml:space="preserve"> To architect robust Python pipelines for detecting and remediating real-world transactional data anomalies, including duplicate records, corrupted timestamps, formatting discrepancies, and missing categorical attributes.</w:t>
      </w:r>
    </w:p>
    <w:p>
      <w:pPr>
        <w:spacing w:before="20" w:after="60" w:line="276" w:lineRule="auto"/>
        <w:ind w:left="360" w:hanging="216"/>
        <w:jc w:val="both"/>
      </w:pPr>
      <w:r>
        <w:rPr>
          <w:rFonts w:ascii="Calibri" w:hAnsi="Calibri"/>
          <w:b/>
          <w:color w:val="008080"/>
          <w:sz w:val="19"/>
        </w:rPr>
        <w:t xml:space="preserve">▪  </w:t>
      </w:r>
      <w:r>
        <w:rPr>
          <w:rFonts w:ascii="Calibri" w:hAnsi="Calibri"/>
          <w:b/>
          <w:color w:val="0F172A"/>
          <w:sz w:val="21"/>
        </w:rPr>
        <w:t xml:space="preserve">Exploratory Data Analysis &amp; Financial Modeling: </w:t>
      </w:r>
      <w:r>
        <w:rPr>
          <w:rFonts w:ascii="Calibri" w:hAnsi="Calibri"/>
          <w:color w:val="334155"/>
          <w:sz w:val="21"/>
        </w:rPr>
        <w:t xml:space="preserve"> To perform rigorous exploratory data analysis (EDA) across retail transaction streams, deriving critical financial metrics such as Gross Sales, Net Profit, Operating Margin %, and Average Order Value (AOV).</w:t>
      </w:r>
    </w:p>
    <w:p>
      <w:pPr>
        <w:spacing w:before="20" w:after="60" w:line="276" w:lineRule="auto"/>
        <w:ind w:left="360" w:hanging="216"/>
        <w:jc w:val="both"/>
      </w:pPr>
      <w:r>
        <w:rPr>
          <w:rFonts w:ascii="Calibri" w:hAnsi="Calibri"/>
          <w:b/>
          <w:color w:val="008080"/>
          <w:sz w:val="19"/>
        </w:rPr>
        <w:t xml:space="preserve">▪  </w:t>
      </w:r>
      <w:r>
        <w:rPr>
          <w:rFonts w:ascii="Calibri" w:hAnsi="Calibri"/>
          <w:b/>
          <w:color w:val="0F172A"/>
          <w:sz w:val="21"/>
        </w:rPr>
        <w:t xml:space="preserve">Spreadsheet Engineering &amp; Dashboarding: </w:t>
      </w:r>
      <w:r>
        <w:rPr>
          <w:rFonts w:ascii="Calibri" w:hAnsi="Calibri"/>
          <w:color w:val="334155"/>
          <w:sz w:val="21"/>
        </w:rPr>
        <w:t xml:space="preserve"> To automate dynamic multi-tab spreadsheet dashboards utilizing advanced Excel formulas (SUMIFS, AVERAGE, COUNT) and professional KPI visualization cards for executive stakeholders.</w:t>
      </w:r>
    </w:p>
    <w:p>
      <w:pPr>
        <w:spacing w:before="20" w:after="60" w:line="276" w:lineRule="auto"/>
        <w:ind w:left="360" w:hanging="216"/>
        <w:jc w:val="both"/>
      </w:pPr>
      <w:r>
        <w:rPr>
          <w:rFonts w:ascii="Calibri" w:hAnsi="Calibri"/>
          <w:b/>
          <w:color w:val="008080"/>
          <w:sz w:val="19"/>
        </w:rPr>
        <w:t xml:space="preserve">▪  </w:t>
      </w:r>
      <w:r>
        <w:rPr>
          <w:rFonts w:ascii="Calibri" w:hAnsi="Calibri"/>
          <w:b/>
          <w:color w:val="0F172A"/>
          <w:sz w:val="21"/>
        </w:rPr>
        <w:t xml:space="preserve">Customer Behavioral Analytics &amp; Cohort Tracking: </w:t>
      </w:r>
      <w:r>
        <w:rPr>
          <w:rFonts w:ascii="Calibri" w:hAnsi="Calibri"/>
          <w:color w:val="334155"/>
          <w:sz w:val="21"/>
        </w:rPr>
        <w:t xml:space="preserve"> To uncover customer behavioral dynamics through Recency, Frequency, and Monetary (RFM) segmentation, monthly cohort retention matrices, and customer lifetime value (LTV) evaluations across multi-year transactional logs.</w:t>
      </w:r>
    </w:p>
    <w:p>
      <w:pPr>
        <w:spacing w:before="20" w:after="60" w:line="276" w:lineRule="auto"/>
        <w:ind w:left="360" w:hanging="216"/>
        <w:jc w:val="both"/>
      </w:pPr>
      <w:r>
        <w:rPr>
          <w:rFonts w:ascii="Calibri" w:hAnsi="Calibri"/>
          <w:b/>
          <w:color w:val="008080"/>
          <w:sz w:val="19"/>
        </w:rPr>
        <w:t xml:space="preserve">▪  </w:t>
      </w:r>
      <w:r>
        <w:rPr>
          <w:rFonts w:ascii="Calibri" w:hAnsi="Calibri"/>
          <w:b/>
          <w:color w:val="0F172A"/>
          <w:sz w:val="21"/>
        </w:rPr>
        <w:t xml:space="preserve">Relational Database &amp; Advanced SQL Modeling: </w:t>
      </w:r>
      <w:r>
        <w:rPr>
          <w:rFonts w:ascii="Calibri" w:hAnsi="Calibri"/>
          <w:color w:val="334155"/>
          <w:sz w:val="21"/>
        </w:rPr>
        <w:t xml:space="preserve"> To design and execute complex relational database queries in SQLite utilizing ANSI SQL-99 standards, Common Table Expressions (CTEs), and advanced Window Functions (DENSE_RANK, LAG, NTILE, running totals).</w:t>
      </w:r>
    </w:p>
    <w:p>
      <w:pPr>
        <w:spacing w:before="20" w:after="60" w:line="276" w:lineRule="auto"/>
        <w:ind w:left="360" w:hanging="216"/>
        <w:jc w:val="both"/>
      </w:pPr>
      <w:r>
        <w:rPr>
          <w:rFonts w:ascii="Calibri" w:hAnsi="Calibri"/>
          <w:b/>
          <w:color w:val="008080"/>
          <w:sz w:val="19"/>
        </w:rPr>
        <w:t xml:space="preserve">▪  </w:t>
      </w:r>
      <w:r>
        <w:rPr>
          <w:rFonts w:ascii="Calibri" w:hAnsi="Calibri"/>
          <w:b/>
          <w:color w:val="0F172A"/>
          <w:sz w:val="21"/>
        </w:rPr>
        <w:t xml:space="preserve">Enterprise Business Intelligence &amp; Star Schema Architecture: </w:t>
      </w:r>
      <w:r>
        <w:rPr>
          <w:rFonts w:ascii="Calibri" w:hAnsi="Calibri"/>
          <w:color w:val="334155"/>
          <w:sz w:val="21"/>
        </w:rPr>
        <w:t xml:space="preserve"> To architect an enterprise-grade Business Intelligence reporting system using Microsoft Power BI Desktop, implementing a certified 6-table Star Schema dimensional model, and programming 28 production DAX measures.</w:t>
      </w:r>
    </w:p>
    <w:p>
      <w:pPr>
        <w:spacing w:before="20" w:after="60" w:line="276" w:lineRule="auto"/>
        <w:ind w:left="360" w:hanging="216"/>
        <w:jc w:val="both"/>
      </w:pPr>
      <w:r>
        <w:rPr>
          <w:rFonts w:ascii="Calibri" w:hAnsi="Calibri"/>
          <w:b/>
          <w:color w:val="008080"/>
          <w:sz w:val="19"/>
        </w:rPr>
        <w:t xml:space="preserve">▪  </w:t>
      </w:r>
      <w:r>
        <w:rPr>
          <w:rFonts w:ascii="Calibri" w:hAnsi="Calibri"/>
          <w:b/>
          <w:color w:val="0F172A"/>
          <w:sz w:val="21"/>
        </w:rPr>
        <w:t xml:space="preserve">Data-Driven Strategic Decision Support: </w:t>
      </w:r>
      <w:r>
        <w:rPr>
          <w:rFonts w:ascii="Calibri" w:hAnsi="Calibri"/>
          <w:color w:val="334155"/>
          <w:sz w:val="21"/>
        </w:rPr>
        <w:t xml:space="preserve"> To synthesize empirical analytical findings into actionable strategic recommendations addressing product merchandising, customer retention triggers, and supply chain logistics bottlenecks.</w:t>
      </w:r>
    </w:p>
    <w:p>
      <w:pPr>
        <w:keepNext/>
        <w:spacing w:before="360" w:after="160"/>
      </w:pPr>
      <w:r>
        <w:rPr>
          <w:rFonts w:ascii="Calibri" w:hAnsi="Calibri"/>
          <w:b/>
          <w:color w:val="1A0538"/>
          <w:sz w:val="28"/>
        </w:rPr>
        <w:t>Tasks and Responsibilities</w:t>
      </w:r>
    </w:p>
    <w:p>
      <w:pPr>
        <w:spacing w:before="40" w:after="120" w:line="276" w:lineRule="auto"/>
        <w:jc w:val="both"/>
      </w:pPr>
      <w:r>
        <w:rPr>
          <w:rFonts w:ascii="Calibri" w:hAnsi="Calibri"/>
          <w:color w:val="334155"/>
          <w:sz w:val="22"/>
        </w:rPr>
        <w:t>Throughout the internship, all analytical projects were developed from scratch, rigorously tested against clean baseline datasets, and documented to production standards. The complete portfolio encompasses three distinct capstone implementations:</w:t>
      </w:r>
    </w:p>
    <w:p>
      <w:pPr>
        <w:keepNext/>
        <w:spacing w:before="240" w:after="80"/>
      </w:pPr>
      <w:r>
        <w:rPr>
          <w:rFonts w:ascii="Calibri" w:hAnsi="Calibri"/>
          <w:b/>
          <w:color w:val="008080"/>
          <w:sz w:val="24"/>
        </w:rPr>
        <w:t>3.1 Project 1 (Beginner Level): Small Business Sales Performance Analysis &amp; Dashboard</w:t>
      </w:r>
    </w:p>
    <w:p>
      <w:pPr>
        <w:spacing w:before="40" w:after="120" w:line="276" w:lineRule="auto"/>
        <w:jc w:val="both"/>
      </w:pPr>
      <w:r>
        <w:rPr>
          <w:rFonts w:ascii="Calibri" w:hAnsi="Calibri"/>
          <w:b/>
          <w:color w:val="0F172A"/>
          <w:sz w:val="22"/>
        </w:rPr>
        <w:t xml:space="preserve">Business Problem: </w:t>
      </w:r>
      <w:r>
        <w:rPr>
          <w:rFonts w:ascii="Calibri" w:hAnsi="Calibri"/>
          <w:color w:val="334155"/>
          <w:sz w:val="22"/>
        </w:rPr>
        <w:t>A multi-regional small business operating across five geographic territories (Central, East, North, South, West) and four commercial verticals (Furniture, Electronics, Office Supplies, Home &amp; Kitchen) experienced rapid sales volume growth but suffered from an acute lack of operational visibility. Executive management could not readily assess category-level profit margins, identify seasonal demand surges, or pinpoint high-risk low-margin inventory.</w:t>
      </w:r>
    </w:p>
    <w:p>
      <w:pPr>
        <w:spacing w:before="40" w:after="120" w:line="276" w:lineRule="auto"/>
        <w:jc w:val="both"/>
      </w:pPr>
      <w:r>
        <w:rPr>
          <w:rFonts w:ascii="Calibri" w:hAnsi="Calibri"/>
          <w:b/>
          <w:color w:val="0F172A"/>
          <w:sz w:val="22"/>
        </w:rPr>
        <w:t xml:space="preserve">Dataset Description &amp; Quality Audit: </w:t>
      </w:r>
      <w:r>
        <w:rPr>
          <w:rFonts w:ascii="Calibri" w:hAnsi="Calibri"/>
          <w:color w:val="334155"/>
          <w:sz w:val="22"/>
        </w:rPr>
        <w:t>The raw sales dataset (raw_sales_data.csv) contained 1,270 transaction records spanning Fiscal Year 2024 with 11 operational attributes: Order ID, Order Date, Product, Category, Quantity, Unit Price, Cost, Sales, Profit, Region, and Payment Method. The raw stream arrived with deliberately injected real-world flaws, including duplicate order IDs, casing inconsistencies ('electronics' vs 'Electronics'), mixed datetime serial formats ('YYYY-MM-DD', 'MM/DD/YYYY', 'DD-MM-YYYY'), and unrecorded payment methods.</w:t>
      </w:r>
    </w:p>
    <w:p>
      <w:pPr>
        <w:spacing w:before="40" w:after="120" w:line="276" w:lineRule="auto"/>
        <w:jc w:val="both"/>
      </w:pPr>
      <w:r>
        <w:rPr>
          <w:rFonts w:ascii="Calibri" w:hAnsi="Calibri"/>
          <w:b/>
          <w:color w:val="0F172A"/>
          <w:sz w:val="22"/>
        </w:rPr>
        <w:t xml:space="preserve">Data Cleaning &amp; Engineering Pipeline: </w:t>
      </w:r>
      <w:r>
        <w:rPr>
          <w:rFonts w:ascii="Calibri" w:hAnsi="Calibri"/>
          <w:color w:val="334155"/>
          <w:sz w:val="22"/>
        </w:rPr>
        <w:t>I constructed an automated data auditing and cleaning pipeline in Python (data_cleaning.py). The pipeline executed seven automated transformations: (1) identified and purged 20 duplicate orders; (2) trimmed whitespace and standardized categorical fields into Title Case; (3) imputed 37 missing Payment Method values with 'Not Specified' to maintain transaction integrity; (4) stripped currency formatting and cast numeric fields into 64-bit floating point; (5) parsed heterogeneous date strings into standard ISO-8601 timestamps; (6) recalculated Sales and Profit fields to ensure mathematical consistency; and (7) validated zero remaining nulls across 1,250 clean records.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2880"/>
            <w:shd w:fill="1A0538"/>
            <w:tcMar>
              <w:top w:w="120" w:type="dxa"/>
              <w:bottom w:w="120" w:type="dxa"/>
              <w:left w:w="140" w:type="dxa"/>
              <w:right w:w="140" w:type="dxa"/>
            </w:tcMar>
          </w:tcPr>
          <w:p>
            <w:pPr>
              <w:jc w:val="left"/>
            </w:pPr>
            <w:r>
              <w:rPr>
                <w:rFonts w:ascii="Calibri" w:hAnsi="Calibri"/>
                <w:b/>
                <w:color w:val="FFFFFF"/>
                <w:sz w:val="20"/>
              </w:rPr>
              <w:t>Performance Metric</w:t>
            </w:r>
          </w:p>
        </w:tc>
        <w:tc>
          <w:tcPr>
            <w:tcW w:type="dxa" w:w="2592"/>
            <w:shd w:fill="1A0538"/>
            <w:tcMar>
              <w:top w:w="120" w:type="dxa"/>
              <w:bottom w:w="120" w:type="dxa"/>
              <w:left w:w="140" w:type="dxa"/>
              <w:right w:w="140" w:type="dxa"/>
            </w:tcMar>
          </w:tcPr>
          <w:p>
            <w:pPr>
              <w:jc w:val="left"/>
            </w:pPr>
            <w:r>
              <w:rPr>
                <w:rFonts w:ascii="Calibri" w:hAnsi="Calibri"/>
                <w:b/>
                <w:color w:val="FFFFFF"/>
                <w:sz w:val="20"/>
              </w:rPr>
              <w:t>Observed Value</w:t>
            </w:r>
          </w:p>
        </w:tc>
        <w:tc>
          <w:tcPr>
            <w:tcW w:type="dxa" w:w="3888"/>
            <w:shd w:fill="1A0538"/>
            <w:tcMar>
              <w:top w:w="120" w:type="dxa"/>
              <w:bottom w:w="120" w:type="dxa"/>
              <w:left w:w="140" w:type="dxa"/>
              <w:right w:w="140" w:type="dxa"/>
            </w:tcMar>
          </w:tcPr>
          <w:p>
            <w:pPr>
              <w:jc w:val="left"/>
            </w:pPr>
            <w:r>
              <w:rPr>
                <w:rFonts w:ascii="Calibri" w:hAnsi="Calibri"/>
                <w:b/>
                <w:color w:val="FFFFFF"/>
                <w:sz w:val="20"/>
              </w:rPr>
              <w:t>Operational Benchmark / Context</w:t>
            </w:r>
          </w:p>
        </w:tc>
      </w:tr>
      <w:tr>
        <w:tc>
          <w:tcPr>
            <w:tcW w:type="dxa" w:w="2880"/>
            <w:shd w:fill="FFFFFF"/>
            <w:tcMar>
              <w:top w:w="80" w:type="dxa"/>
              <w:bottom w:w="80" w:type="dxa"/>
              <w:left w:w="120" w:type="dxa"/>
              <w:right w:w="120" w:type="dxa"/>
            </w:tcMar>
          </w:tcPr>
          <w:p>
            <w:pPr>
              <w:jc w:val="left"/>
            </w:pPr>
            <w:r>
              <w:rPr>
                <w:rFonts w:ascii="Calibri" w:hAnsi="Calibri"/>
                <w:color w:val="0F172A"/>
                <w:sz w:val="19"/>
              </w:rPr>
              <w:t>Total Gross Revenue</w:t>
            </w:r>
          </w:p>
        </w:tc>
        <w:tc>
          <w:tcPr>
            <w:tcW w:type="dxa" w:w="2592"/>
            <w:shd w:fill="FFFFFF"/>
            <w:tcMar>
              <w:top w:w="80" w:type="dxa"/>
              <w:bottom w:w="80" w:type="dxa"/>
              <w:left w:w="120" w:type="dxa"/>
              <w:right w:w="120" w:type="dxa"/>
            </w:tcMar>
          </w:tcPr>
          <w:p>
            <w:pPr>
              <w:jc w:val="left"/>
            </w:pPr>
            <w:r>
              <w:rPr>
                <w:rFonts w:ascii="Calibri" w:hAnsi="Calibri"/>
                <w:color w:val="0F172A"/>
                <w:sz w:val="19"/>
              </w:rPr>
              <w:t>$180,936.50</w:t>
            </w:r>
          </w:p>
        </w:tc>
        <w:tc>
          <w:tcPr>
            <w:tcW w:type="dxa" w:w="3888"/>
            <w:shd w:fill="FFFFFF"/>
            <w:tcMar>
              <w:top w:w="80" w:type="dxa"/>
              <w:bottom w:w="80" w:type="dxa"/>
              <w:left w:w="120" w:type="dxa"/>
              <w:right w:w="120" w:type="dxa"/>
            </w:tcMar>
          </w:tcPr>
          <w:p>
            <w:pPr>
              <w:jc w:val="left"/>
            </w:pPr>
            <w:r>
              <w:rPr>
                <w:rFonts w:ascii="Calibri" w:hAnsi="Calibri"/>
                <w:color w:val="0F172A"/>
                <w:sz w:val="19"/>
              </w:rPr>
              <w:t>Cumulative 2024 gross transaction volume</w:t>
            </w:r>
          </w:p>
        </w:tc>
      </w:tr>
      <w:tr>
        <w:tc>
          <w:tcPr>
            <w:tcW w:type="dxa" w:w="2880"/>
            <w:shd w:fill="F8FAFC"/>
            <w:tcMar>
              <w:top w:w="80" w:type="dxa"/>
              <w:bottom w:w="80" w:type="dxa"/>
              <w:left w:w="120" w:type="dxa"/>
              <w:right w:w="120" w:type="dxa"/>
            </w:tcMar>
          </w:tcPr>
          <w:p>
            <w:pPr>
              <w:jc w:val="left"/>
            </w:pPr>
            <w:r>
              <w:rPr>
                <w:rFonts w:ascii="Calibri" w:hAnsi="Calibri"/>
                <w:color w:val="0F172A"/>
                <w:sz w:val="19"/>
              </w:rPr>
              <w:t>Total Net Profit</w:t>
            </w:r>
          </w:p>
        </w:tc>
        <w:tc>
          <w:tcPr>
            <w:tcW w:type="dxa" w:w="2592"/>
            <w:shd w:fill="F8FAFC"/>
            <w:tcMar>
              <w:top w:w="80" w:type="dxa"/>
              <w:bottom w:w="80" w:type="dxa"/>
              <w:left w:w="120" w:type="dxa"/>
              <w:right w:w="120" w:type="dxa"/>
            </w:tcMar>
          </w:tcPr>
          <w:p>
            <w:pPr>
              <w:jc w:val="left"/>
            </w:pPr>
            <w:r>
              <w:rPr>
                <w:rFonts w:ascii="Calibri" w:hAnsi="Calibri"/>
                <w:color w:val="0F172A"/>
                <w:sz w:val="19"/>
              </w:rPr>
              <w:t>$87,709.30</w:t>
            </w:r>
          </w:p>
        </w:tc>
        <w:tc>
          <w:tcPr>
            <w:tcW w:type="dxa" w:w="3888"/>
            <w:shd w:fill="F8FAFC"/>
            <w:tcMar>
              <w:top w:w="80" w:type="dxa"/>
              <w:bottom w:w="80" w:type="dxa"/>
              <w:left w:w="120" w:type="dxa"/>
              <w:right w:w="120" w:type="dxa"/>
            </w:tcMar>
          </w:tcPr>
          <w:p>
            <w:pPr>
              <w:jc w:val="left"/>
            </w:pPr>
            <w:r>
              <w:rPr>
                <w:rFonts w:ascii="Calibri" w:hAnsi="Calibri"/>
                <w:color w:val="0F172A"/>
                <w:sz w:val="19"/>
              </w:rPr>
              <w:t>Consolidated net return after cost of goods</w:t>
            </w:r>
          </w:p>
        </w:tc>
      </w:tr>
      <w:tr>
        <w:tc>
          <w:tcPr>
            <w:tcW w:type="dxa" w:w="2880"/>
            <w:shd w:fill="FFFFFF"/>
            <w:tcMar>
              <w:top w:w="80" w:type="dxa"/>
              <w:bottom w:w="80" w:type="dxa"/>
              <w:left w:w="120" w:type="dxa"/>
              <w:right w:w="120" w:type="dxa"/>
            </w:tcMar>
          </w:tcPr>
          <w:p>
            <w:pPr>
              <w:jc w:val="left"/>
            </w:pPr>
            <w:r>
              <w:rPr>
                <w:rFonts w:ascii="Calibri" w:hAnsi="Calibri"/>
                <w:color w:val="0F172A"/>
                <w:sz w:val="19"/>
              </w:rPr>
              <w:t>Consolidated Profit Margin</w:t>
            </w:r>
          </w:p>
        </w:tc>
        <w:tc>
          <w:tcPr>
            <w:tcW w:type="dxa" w:w="2592"/>
            <w:shd w:fill="FFFFFF"/>
            <w:tcMar>
              <w:top w:w="80" w:type="dxa"/>
              <w:bottom w:w="80" w:type="dxa"/>
              <w:left w:w="120" w:type="dxa"/>
              <w:right w:w="120" w:type="dxa"/>
            </w:tcMar>
          </w:tcPr>
          <w:p>
            <w:pPr>
              <w:jc w:val="left"/>
            </w:pPr>
            <w:r>
              <w:rPr>
                <w:rFonts w:ascii="Calibri" w:hAnsi="Calibri"/>
                <w:color w:val="0F172A"/>
                <w:sz w:val="19"/>
              </w:rPr>
              <w:t>48.48%</w:t>
            </w:r>
          </w:p>
        </w:tc>
        <w:tc>
          <w:tcPr>
            <w:tcW w:type="dxa" w:w="3888"/>
            <w:shd w:fill="FFFFFF"/>
            <w:tcMar>
              <w:top w:w="80" w:type="dxa"/>
              <w:bottom w:w="80" w:type="dxa"/>
              <w:left w:w="120" w:type="dxa"/>
              <w:right w:w="120" w:type="dxa"/>
            </w:tcMar>
          </w:tcPr>
          <w:p>
            <w:pPr>
              <w:jc w:val="left"/>
            </w:pPr>
            <w:r>
              <w:rPr>
                <w:rFonts w:ascii="Calibri" w:hAnsi="Calibri"/>
                <w:color w:val="0F172A"/>
                <w:sz w:val="19"/>
              </w:rPr>
              <w:t>Healthy overall retail margin</w:t>
            </w:r>
          </w:p>
        </w:tc>
      </w:tr>
      <w:tr>
        <w:tc>
          <w:tcPr>
            <w:tcW w:type="dxa" w:w="2880"/>
            <w:shd w:fill="F8FAFC"/>
            <w:tcMar>
              <w:top w:w="80" w:type="dxa"/>
              <w:bottom w:w="80" w:type="dxa"/>
              <w:left w:w="120" w:type="dxa"/>
              <w:right w:w="120" w:type="dxa"/>
            </w:tcMar>
          </w:tcPr>
          <w:p>
            <w:pPr>
              <w:jc w:val="left"/>
            </w:pPr>
            <w:r>
              <w:rPr>
                <w:rFonts w:ascii="Calibri" w:hAnsi="Calibri"/>
                <w:color w:val="0F172A"/>
                <w:sz w:val="19"/>
              </w:rPr>
              <w:t>Total Order Volume</w:t>
            </w:r>
          </w:p>
        </w:tc>
        <w:tc>
          <w:tcPr>
            <w:tcW w:type="dxa" w:w="2592"/>
            <w:shd w:fill="F8FAFC"/>
            <w:tcMar>
              <w:top w:w="80" w:type="dxa"/>
              <w:bottom w:w="80" w:type="dxa"/>
              <w:left w:w="120" w:type="dxa"/>
              <w:right w:w="120" w:type="dxa"/>
            </w:tcMar>
          </w:tcPr>
          <w:p>
            <w:pPr>
              <w:jc w:val="left"/>
            </w:pPr>
            <w:r>
              <w:rPr>
                <w:rFonts w:ascii="Calibri" w:hAnsi="Calibri"/>
                <w:color w:val="0F172A"/>
                <w:sz w:val="19"/>
              </w:rPr>
              <w:t>1,250 Orders</w:t>
            </w:r>
          </w:p>
        </w:tc>
        <w:tc>
          <w:tcPr>
            <w:tcW w:type="dxa" w:w="3888"/>
            <w:shd w:fill="F8FAFC"/>
            <w:tcMar>
              <w:top w:w="80" w:type="dxa"/>
              <w:bottom w:w="80" w:type="dxa"/>
              <w:left w:w="120" w:type="dxa"/>
              <w:right w:w="120" w:type="dxa"/>
            </w:tcMar>
          </w:tcPr>
          <w:p>
            <w:pPr>
              <w:jc w:val="left"/>
            </w:pPr>
            <w:r>
              <w:rPr>
                <w:rFonts w:ascii="Calibri" w:hAnsi="Calibri"/>
                <w:color w:val="0F172A"/>
                <w:sz w:val="19"/>
              </w:rPr>
              <w:t>Average of ~104 transactions per month</w:t>
            </w:r>
          </w:p>
        </w:tc>
      </w:tr>
      <w:tr>
        <w:tc>
          <w:tcPr>
            <w:tcW w:type="dxa" w:w="2880"/>
            <w:shd w:fill="FFFFFF"/>
            <w:tcMar>
              <w:top w:w="80" w:type="dxa"/>
              <w:bottom w:w="80" w:type="dxa"/>
              <w:left w:w="120" w:type="dxa"/>
              <w:right w:w="120" w:type="dxa"/>
            </w:tcMar>
          </w:tcPr>
          <w:p>
            <w:pPr>
              <w:jc w:val="left"/>
            </w:pPr>
            <w:r>
              <w:rPr>
                <w:rFonts w:ascii="Calibri" w:hAnsi="Calibri"/>
                <w:color w:val="0F172A"/>
                <w:sz w:val="19"/>
              </w:rPr>
              <w:t>Units Sold</w:t>
            </w:r>
          </w:p>
        </w:tc>
        <w:tc>
          <w:tcPr>
            <w:tcW w:type="dxa" w:w="2592"/>
            <w:shd w:fill="FFFFFF"/>
            <w:tcMar>
              <w:top w:w="80" w:type="dxa"/>
              <w:bottom w:w="80" w:type="dxa"/>
              <w:left w:w="120" w:type="dxa"/>
              <w:right w:w="120" w:type="dxa"/>
            </w:tcMar>
          </w:tcPr>
          <w:p>
            <w:pPr>
              <w:jc w:val="left"/>
            </w:pPr>
            <w:r>
              <w:rPr>
                <w:rFonts w:ascii="Calibri" w:hAnsi="Calibri"/>
                <w:color w:val="0F172A"/>
                <w:sz w:val="19"/>
              </w:rPr>
              <w:t>2,662 Units</w:t>
            </w:r>
          </w:p>
        </w:tc>
        <w:tc>
          <w:tcPr>
            <w:tcW w:type="dxa" w:w="3888"/>
            <w:shd w:fill="FFFFFF"/>
            <w:tcMar>
              <w:top w:w="80" w:type="dxa"/>
              <w:bottom w:w="80" w:type="dxa"/>
              <w:left w:w="120" w:type="dxa"/>
              <w:right w:w="120" w:type="dxa"/>
            </w:tcMar>
          </w:tcPr>
          <w:p>
            <w:pPr>
              <w:jc w:val="left"/>
            </w:pPr>
            <w:r>
              <w:rPr>
                <w:rFonts w:ascii="Calibri" w:hAnsi="Calibri"/>
                <w:color w:val="0F172A"/>
                <w:sz w:val="19"/>
              </w:rPr>
              <w:t>2.13 units per average basket</w:t>
            </w:r>
          </w:p>
        </w:tc>
      </w:tr>
      <w:tr>
        <w:tc>
          <w:tcPr>
            <w:tcW w:type="dxa" w:w="2880"/>
            <w:shd w:fill="F8FAFC"/>
            <w:tcMar>
              <w:top w:w="80" w:type="dxa"/>
              <w:bottom w:w="80" w:type="dxa"/>
              <w:left w:w="120" w:type="dxa"/>
              <w:right w:w="120" w:type="dxa"/>
            </w:tcMar>
          </w:tcPr>
          <w:p>
            <w:pPr>
              <w:jc w:val="left"/>
            </w:pPr>
            <w:r>
              <w:rPr>
                <w:rFonts w:ascii="Calibri" w:hAnsi="Calibri"/>
                <w:color w:val="0F172A"/>
                <w:sz w:val="19"/>
              </w:rPr>
              <w:t>Average Order Value (AOV)</w:t>
            </w:r>
          </w:p>
        </w:tc>
        <w:tc>
          <w:tcPr>
            <w:tcW w:type="dxa" w:w="2592"/>
            <w:shd w:fill="F8FAFC"/>
            <w:tcMar>
              <w:top w:w="80" w:type="dxa"/>
              <w:bottom w:w="80" w:type="dxa"/>
              <w:left w:w="120" w:type="dxa"/>
              <w:right w:w="120" w:type="dxa"/>
            </w:tcMar>
          </w:tcPr>
          <w:p>
            <w:pPr>
              <w:jc w:val="left"/>
            </w:pPr>
            <w:r>
              <w:rPr>
                <w:rFonts w:ascii="Calibri" w:hAnsi="Calibri"/>
                <w:color w:val="0F172A"/>
                <w:sz w:val="19"/>
              </w:rPr>
              <w:t>$144.75</w:t>
            </w:r>
          </w:p>
        </w:tc>
        <w:tc>
          <w:tcPr>
            <w:tcW w:type="dxa" w:w="3888"/>
            <w:shd w:fill="F8FAFC"/>
            <w:tcMar>
              <w:top w:w="80" w:type="dxa"/>
              <w:bottom w:w="80" w:type="dxa"/>
              <w:left w:w="120" w:type="dxa"/>
              <w:right w:w="120" w:type="dxa"/>
            </w:tcMar>
          </w:tcPr>
          <w:p>
            <w:pPr>
              <w:jc w:val="left"/>
            </w:pPr>
            <w:r>
              <w:rPr>
                <w:rFonts w:ascii="Calibri" w:hAnsi="Calibri"/>
                <w:color w:val="0F172A"/>
                <w:sz w:val="19"/>
              </w:rPr>
              <w:t>Baseline transaction basket size</w:t>
            </w:r>
          </w:p>
        </w:tc>
      </w:tr>
      <w:tr>
        <w:tc>
          <w:tcPr>
            <w:tcW w:type="dxa" w:w="2880"/>
            <w:shd w:fill="FFFFFF"/>
            <w:tcMar>
              <w:top w:w="80" w:type="dxa"/>
              <w:bottom w:w="80" w:type="dxa"/>
              <w:left w:w="120" w:type="dxa"/>
              <w:right w:w="120" w:type="dxa"/>
            </w:tcMar>
          </w:tcPr>
          <w:p>
            <w:pPr>
              <w:jc w:val="left"/>
            </w:pPr>
            <w:r>
              <w:rPr>
                <w:rFonts w:ascii="Calibri" w:hAnsi="Calibri"/>
                <w:color w:val="0F172A"/>
                <w:sz w:val="19"/>
              </w:rPr>
              <w:t>Peak Seasonality Month</w:t>
            </w:r>
          </w:p>
        </w:tc>
        <w:tc>
          <w:tcPr>
            <w:tcW w:type="dxa" w:w="2592"/>
            <w:shd w:fill="FFFFFF"/>
            <w:tcMar>
              <w:top w:w="80" w:type="dxa"/>
              <w:bottom w:w="80" w:type="dxa"/>
              <w:left w:w="120" w:type="dxa"/>
              <w:right w:w="120" w:type="dxa"/>
            </w:tcMar>
          </w:tcPr>
          <w:p>
            <w:pPr>
              <w:jc w:val="left"/>
            </w:pPr>
            <w:r>
              <w:rPr>
                <w:rFonts w:ascii="Calibri" w:hAnsi="Calibri"/>
                <w:color w:val="0F172A"/>
                <w:sz w:val="19"/>
              </w:rPr>
              <w:t>November ($23,036.00)</w:t>
            </w:r>
          </w:p>
        </w:tc>
        <w:tc>
          <w:tcPr>
            <w:tcW w:type="dxa" w:w="3888"/>
            <w:shd w:fill="FFFFFF"/>
            <w:tcMar>
              <w:top w:w="80" w:type="dxa"/>
              <w:bottom w:w="80" w:type="dxa"/>
              <w:left w:w="120" w:type="dxa"/>
              <w:right w:w="120" w:type="dxa"/>
            </w:tcMar>
          </w:tcPr>
          <w:p>
            <w:pPr>
              <w:jc w:val="left"/>
            </w:pPr>
            <w:r>
              <w:rPr>
                <w:rFonts w:ascii="Calibri" w:hAnsi="Calibri"/>
                <w:color w:val="0F172A"/>
                <w:sz w:val="19"/>
              </w:rPr>
              <w:t>Q4 holiday surge; AOV reached $213.30</w:t>
            </w:r>
          </w:p>
        </w:tc>
      </w:tr>
      <w:tr>
        <w:tc>
          <w:tcPr>
            <w:tcW w:type="dxa" w:w="2880"/>
            <w:shd w:fill="F8FAFC"/>
            <w:tcMar>
              <w:top w:w="80" w:type="dxa"/>
              <w:bottom w:w="80" w:type="dxa"/>
              <w:left w:w="120" w:type="dxa"/>
              <w:right w:w="120" w:type="dxa"/>
            </w:tcMar>
          </w:tcPr>
          <w:p>
            <w:pPr>
              <w:jc w:val="left"/>
            </w:pPr>
            <w:r>
              <w:rPr>
                <w:rFonts w:ascii="Calibri" w:hAnsi="Calibri"/>
                <w:color w:val="0F172A"/>
                <w:sz w:val="19"/>
              </w:rPr>
              <w:t>Trough Performance Month</w:t>
            </w:r>
          </w:p>
        </w:tc>
        <w:tc>
          <w:tcPr>
            <w:tcW w:type="dxa" w:w="2592"/>
            <w:shd w:fill="F8FAFC"/>
            <w:tcMar>
              <w:top w:w="80" w:type="dxa"/>
              <w:bottom w:w="80" w:type="dxa"/>
              <w:left w:w="120" w:type="dxa"/>
              <w:right w:w="120" w:type="dxa"/>
            </w:tcMar>
          </w:tcPr>
          <w:p>
            <w:pPr>
              <w:jc w:val="left"/>
            </w:pPr>
            <w:r>
              <w:rPr>
                <w:rFonts w:ascii="Calibri" w:hAnsi="Calibri"/>
                <w:color w:val="0F172A"/>
                <w:sz w:val="19"/>
              </w:rPr>
              <w:t>June ($9,972.00)</w:t>
            </w:r>
          </w:p>
        </w:tc>
        <w:tc>
          <w:tcPr>
            <w:tcW w:type="dxa" w:w="3888"/>
            <w:shd w:fill="F8FAFC"/>
            <w:tcMar>
              <w:top w:w="80" w:type="dxa"/>
              <w:bottom w:w="80" w:type="dxa"/>
              <w:left w:w="120" w:type="dxa"/>
              <w:right w:w="120" w:type="dxa"/>
            </w:tcMar>
          </w:tcPr>
          <w:p>
            <w:pPr>
              <w:jc w:val="left"/>
            </w:pPr>
            <w:r>
              <w:rPr>
                <w:rFonts w:ascii="Calibri" w:hAnsi="Calibri"/>
                <w:color w:val="0F172A"/>
                <w:sz w:val="19"/>
              </w:rPr>
              <w:t>Summer lull; promotional opportunity</w:t>
            </w:r>
          </w:p>
        </w:tc>
      </w:tr>
      <w:tr>
        <w:tc>
          <w:tcPr>
            <w:tcW w:type="dxa" w:w="2880"/>
            <w:shd w:fill="FFFFFF"/>
            <w:tcMar>
              <w:top w:w="80" w:type="dxa"/>
              <w:bottom w:w="80" w:type="dxa"/>
              <w:left w:w="120" w:type="dxa"/>
              <w:right w:w="120" w:type="dxa"/>
            </w:tcMar>
          </w:tcPr>
          <w:p>
            <w:pPr>
              <w:jc w:val="left"/>
            </w:pPr>
            <w:r>
              <w:rPr>
                <w:rFonts w:ascii="Calibri" w:hAnsi="Calibri"/>
                <w:color w:val="0F172A"/>
                <w:sz w:val="19"/>
              </w:rPr>
              <w:t>Top Revenue Product</w:t>
            </w:r>
          </w:p>
        </w:tc>
        <w:tc>
          <w:tcPr>
            <w:tcW w:type="dxa" w:w="2592"/>
            <w:shd w:fill="FFFFFF"/>
            <w:tcMar>
              <w:top w:w="80" w:type="dxa"/>
              <w:bottom w:w="80" w:type="dxa"/>
              <w:left w:w="120" w:type="dxa"/>
              <w:right w:w="120" w:type="dxa"/>
            </w:tcMar>
          </w:tcPr>
          <w:p>
            <w:pPr>
              <w:jc w:val="left"/>
            </w:pPr>
            <w:r>
              <w:rPr>
                <w:rFonts w:ascii="Calibri" w:hAnsi="Calibri"/>
                <w:color w:val="0F172A"/>
                <w:sz w:val="19"/>
              </w:rPr>
              <w:t>Ergonomic Office Chair</w:t>
            </w:r>
          </w:p>
        </w:tc>
        <w:tc>
          <w:tcPr>
            <w:tcW w:type="dxa" w:w="3888"/>
            <w:shd w:fill="FFFFFF"/>
            <w:tcMar>
              <w:top w:w="80" w:type="dxa"/>
              <w:bottom w:w="80" w:type="dxa"/>
              <w:left w:w="120" w:type="dxa"/>
              <w:right w:w="120" w:type="dxa"/>
            </w:tcMar>
          </w:tcPr>
          <w:p>
            <w:pPr>
              <w:jc w:val="left"/>
            </w:pPr>
            <w:r>
              <w:rPr>
                <w:rFonts w:ascii="Calibri" w:hAnsi="Calibri"/>
                <w:color w:val="0F172A"/>
                <w:sz w:val="19"/>
              </w:rPr>
              <w:t>$43,050.00 revenue across 123 orders</w:t>
            </w:r>
          </w:p>
        </w:tc>
      </w:tr>
      <w:tr>
        <w:tc>
          <w:tcPr>
            <w:tcW w:type="dxa" w:w="2880"/>
            <w:shd w:fill="F8FAFC"/>
            <w:tcMar>
              <w:top w:w="80" w:type="dxa"/>
              <w:bottom w:w="80" w:type="dxa"/>
              <w:left w:w="120" w:type="dxa"/>
              <w:right w:w="120" w:type="dxa"/>
            </w:tcMar>
          </w:tcPr>
          <w:p>
            <w:pPr>
              <w:jc w:val="left"/>
            </w:pPr>
            <w:r>
              <w:rPr>
                <w:rFonts w:ascii="Calibri" w:hAnsi="Calibri"/>
                <w:color w:val="0F172A"/>
                <w:sz w:val="19"/>
              </w:rPr>
              <w:t>Highest Margin Product</w:t>
            </w:r>
          </w:p>
        </w:tc>
        <w:tc>
          <w:tcPr>
            <w:tcW w:type="dxa" w:w="2592"/>
            <w:shd w:fill="F8FAFC"/>
            <w:tcMar>
              <w:top w:w="80" w:type="dxa"/>
              <w:bottom w:w="80" w:type="dxa"/>
              <w:left w:w="120" w:type="dxa"/>
              <w:right w:w="120" w:type="dxa"/>
            </w:tcMar>
          </w:tcPr>
          <w:p>
            <w:pPr>
              <w:jc w:val="left"/>
            </w:pPr>
            <w:r>
              <w:rPr>
                <w:rFonts w:ascii="Calibri" w:hAnsi="Calibri"/>
                <w:color w:val="0F172A"/>
                <w:sz w:val="19"/>
              </w:rPr>
              <w:t>Gel Ink Pens</w:t>
            </w:r>
          </w:p>
        </w:tc>
        <w:tc>
          <w:tcPr>
            <w:tcW w:type="dxa" w:w="3888"/>
            <w:shd w:fill="F8FAFC"/>
            <w:tcMar>
              <w:top w:w="80" w:type="dxa"/>
              <w:bottom w:w="80" w:type="dxa"/>
              <w:left w:w="120" w:type="dxa"/>
              <w:right w:w="120" w:type="dxa"/>
            </w:tcMar>
          </w:tcPr>
          <w:p>
            <w:pPr>
              <w:jc w:val="left"/>
            </w:pPr>
            <w:r>
              <w:rPr>
                <w:rFonts w:ascii="Calibri" w:hAnsi="Calibri"/>
                <w:color w:val="0F172A"/>
                <w:sz w:val="19"/>
              </w:rPr>
              <w:t>67.72% net profit margin ($2,966.00 revenue)</w:t>
            </w:r>
          </w:p>
        </w:tc>
      </w:tr>
    </w:tbl>
    <w:p>
      <w:pPr>
        <w:spacing w:before="40" w:after="120"/>
      </w:pPr>
    </w:p>
    <w:p>
      <w:pPr>
        <w:spacing w:before="160" w:after="40"/>
        <w:jc w:val="center"/>
      </w:pPr>
      <w:r>
        <w:drawing>
          <wp:inline>
            <wp:extent cx="5120640" cy="2560320"/>
            <wp:docPr id="1" name="Picture 1"/>
            <wp:cNvGraphicFramePr>
              <a:graphicFrameLocks noChangeAspect="1"/>
            </wp:cNvGraphicFramePr>
            <a:graphic>
              <a:graphicData uri="http://schemas.openxmlformats.org/drawingml/2006/picture">
                <pic:pic>
                  <pic:nvPicPr>
                    <pic:cNvPr id="0" name="p1_monthly_sales_trend.png"/>
                    <pic:cNvPicPr/>
                  </pic:nvPicPr>
                  <pic:blipFill>
                    <a:blip r:embed="rId6"/>
                    <a:stretch>
                      <a:fillRect/>
                    </a:stretch>
                  </pic:blipFill>
                  <pic:spPr>
                    <a:xfrm>
                      <a:off x="0" y="0"/>
                      <a:ext cx="5120640" cy="2560320"/>
                    </a:xfrm>
                    <a:prstGeom prst="rect"/>
                  </pic:spPr>
                </pic:pic>
              </a:graphicData>
            </a:graphic>
          </wp:inline>
        </w:drawing>
      </w:r>
    </w:p>
    <w:p>
      <w:pPr>
        <w:spacing w:before="0" w:after="200"/>
        <w:jc w:val="center"/>
      </w:pPr>
      <w:r>
        <w:rPr>
          <w:rFonts w:ascii="Calibri" w:hAnsi="Calibri"/>
          <w:i/>
          <w:color w:val="64748B"/>
          <w:sz w:val="19"/>
        </w:rPr>
        <w:t>Figure 1: Monthly Sales &amp; Net Profit Trajectory for Fiscal Year 2024 highlighting Q4 peak.</w:t>
      </w:r>
    </w:p>
    <w:p>
      <w:pPr>
        <w:spacing w:before="160" w:after="40"/>
        <w:jc w:val="center"/>
      </w:pPr>
      <w:r>
        <w:drawing>
          <wp:inline>
            <wp:extent cx="5120640" cy="2560320"/>
            <wp:docPr id="2" name="Picture 2"/>
            <wp:cNvGraphicFramePr>
              <a:graphicFrameLocks noChangeAspect="1"/>
            </wp:cNvGraphicFramePr>
            <a:graphic>
              <a:graphicData uri="http://schemas.openxmlformats.org/drawingml/2006/picture">
                <pic:pic>
                  <pic:nvPicPr>
                    <pic:cNvPr id="0" name="p1_category_sales_profit.png"/>
                    <pic:cNvPicPr/>
                  </pic:nvPicPr>
                  <pic:blipFill>
                    <a:blip r:embed="rId7"/>
                    <a:stretch>
                      <a:fillRect/>
                    </a:stretch>
                  </pic:blipFill>
                  <pic:spPr>
                    <a:xfrm>
                      <a:off x="0" y="0"/>
                      <a:ext cx="5120640" cy="2560320"/>
                    </a:xfrm>
                    <a:prstGeom prst="rect"/>
                  </pic:spPr>
                </pic:pic>
              </a:graphicData>
            </a:graphic>
          </wp:inline>
        </w:drawing>
      </w:r>
    </w:p>
    <w:p>
      <w:pPr>
        <w:spacing w:before="0" w:after="200"/>
        <w:jc w:val="center"/>
      </w:pPr>
      <w:r>
        <w:rPr>
          <w:rFonts w:ascii="Calibri" w:hAnsi="Calibri"/>
          <w:i/>
          <w:color w:val="64748B"/>
          <w:sz w:val="19"/>
        </w:rPr>
        <w:t>Figure 2: Dual-axis comparison of Gross Sales Volume vs Net Profit Margin across commercial categories.</w:t>
      </w:r>
    </w:p>
    <w:p>
      <w:pPr>
        <w:spacing w:before="40" w:after="120" w:line="276" w:lineRule="auto"/>
        <w:jc w:val="both"/>
      </w:pPr>
      <w:r>
        <w:rPr>
          <w:rFonts w:ascii="Calibri" w:hAnsi="Calibri"/>
          <w:b/>
          <w:color w:val="0F172A"/>
          <w:sz w:val="22"/>
        </w:rPr>
        <w:t xml:space="preserve">Spreadsheet Engineering: </w:t>
      </w:r>
      <w:r>
        <w:rPr>
          <w:rFonts w:ascii="Calibri" w:hAnsi="Calibri"/>
          <w:color w:val="334155"/>
          <w:sz w:val="22"/>
        </w:rPr>
        <w:t>To empower operational managers without technical Python backgrounds, I engineered a fully automated 4-worksheet Excel workbook (Small_Business_Sales_Dashboard.xlsx) using openpyxl. The workbook incorporates: (1) 'Raw Data' preserving historical records; (2) 'Cleaned Data' structured table; (3) 'Analysis' sheet calculating dynamic metrics via Excel formulas (=SUM, =SUMIFS, =AVERAGE, =COUNTIFS) without hardcoded values; and (4) 'Dashboard' sheet with formatted KPI summary cards and embedded high-resolution visual charts.</w:t>
      </w:r>
    </w:p>
    <w:p>
      <w:pPr>
        <w:spacing w:before="20" w:after="60" w:line="276" w:lineRule="auto"/>
        <w:ind w:left="360" w:hanging="216"/>
        <w:jc w:val="both"/>
      </w:pPr>
      <w:r>
        <w:rPr>
          <w:rFonts w:ascii="Calibri" w:hAnsi="Calibri"/>
          <w:b/>
          <w:color w:val="008080"/>
          <w:sz w:val="19"/>
        </w:rPr>
        <w:t xml:space="preserve">▪  </w:t>
      </w:r>
      <w:r>
        <w:rPr>
          <w:rFonts w:ascii="Calibri" w:hAnsi="Calibri"/>
          <w:b/>
          <w:color w:val="0F172A"/>
          <w:sz w:val="21"/>
        </w:rPr>
        <w:t xml:space="preserve">Volume vs Margin Divergence: </w:t>
      </w:r>
      <w:r>
        <w:rPr>
          <w:rFonts w:ascii="Calibri" w:hAnsi="Calibri"/>
          <w:color w:val="334155"/>
          <w:sz w:val="21"/>
        </w:rPr>
        <w:t>Furniture ($74,359.00) and Electronics ($68,702.50) represent 79.07% of company revenue, establishing them as foundational volume drivers.</w:t>
      </w:r>
    </w:p>
    <w:p>
      <w:pPr>
        <w:spacing w:before="20" w:after="60" w:line="276" w:lineRule="auto"/>
        <w:ind w:left="360" w:hanging="216"/>
        <w:jc w:val="both"/>
      </w:pPr>
      <w:r>
        <w:rPr>
          <w:rFonts w:ascii="Calibri" w:hAnsi="Calibri"/>
          <w:b/>
          <w:color w:val="008080"/>
          <w:sz w:val="19"/>
        </w:rPr>
        <w:t xml:space="preserve">▪  </w:t>
      </w:r>
      <w:r>
        <w:rPr>
          <w:rFonts w:ascii="Calibri" w:hAnsi="Calibri"/>
          <w:b/>
          <w:color w:val="0F172A"/>
          <w:sz w:val="21"/>
        </w:rPr>
        <w:t xml:space="preserve">Cross-Selling Potential: </w:t>
      </w:r>
      <w:r>
        <w:rPr>
          <w:rFonts w:ascii="Calibri" w:hAnsi="Calibri"/>
          <w:color w:val="334155"/>
          <w:sz w:val="21"/>
        </w:rPr>
        <w:t>Desk Accessories and Office Supplies yield superior profit margins (67.72% on Gel Ink Pens), making them ideal high-margin add-ons.</w:t>
      </w:r>
    </w:p>
    <w:p>
      <w:pPr>
        <w:spacing w:before="20" w:after="60" w:line="276" w:lineRule="auto"/>
        <w:ind w:left="360" w:hanging="216"/>
        <w:jc w:val="both"/>
      </w:pPr>
      <w:r>
        <w:rPr>
          <w:rFonts w:ascii="Calibri" w:hAnsi="Calibri"/>
          <w:b/>
          <w:color w:val="008080"/>
          <w:sz w:val="19"/>
        </w:rPr>
        <w:t xml:space="preserve">▪  </w:t>
      </w:r>
      <w:r>
        <w:rPr>
          <w:rFonts w:ascii="Calibri" w:hAnsi="Calibri"/>
          <w:b/>
          <w:color w:val="0F172A"/>
          <w:sz w:val="21"/>
        </w:rPr>
        <w:t xml:space="preserve">Seasonal Merchandising Strategy: </w:t>
      </w:r>
      <w:r>
        <w:rPr>
          <w:rFonts w:ascii="Calibri" w:hAnsi="Calibri"/>
          <w:color w:val="334155"/>
          <w:sz w:val="21"/>
        </w:rPr>
        <w:t>Implement pre-holiday early-bird promotions starting in September to smooth out the severe mid-year summer revenue drop.</w:t>
      </w:r>
    </w:p>
    <w:p>
      <w:pPr>
        <w:keepNext/>
        <w:spacing w:before="240" w:after="80"/>
      </w:pPr>
      <w:r>
        <w:rPr>
          <w:rFonts w:ascii="Calibri" w:hAnsi="Calibri"/>
          <w:b/>
          <w:color w:val="008080"/>
          <w:sz w:val="24"/>
        </w:rPr>
        <w:t>3.2 Project 2 (Intermediate Level): Customer Behaviour, Revenue, and Retention Analytics</w:t>
      </w:r>
    </w:p>
    <w:p>
      <w:pPr>
        <w:spacing w:before="40" w:after="120" w:line="276" w:lineRule="auto"/>
        <w:jc w:val="both"/>
      </w:pPr>
      <w:r>
        <w:rPr>
          <w:rFonts w:ascii="Calibri" w:hAnsi="Calibri"/>
          <w:b/>
          <w:color w:val="0F172A"/>
          <w:sz w:val="22"/>
        </w:rPr>
        <w:t xml:space="preserve">Business Problem: </w:t>
      </w:r>
      <w:r>
        <w:rPr>
          <w:rFonts w:ascii="Calibri" w:hAnsi="Calibri"/>
          <w:color w:val="334155"/>
          <w:sz w:val="22"/>
        </w:rPr>
        <w:t>A fast-growing direct-to-consumer e-commerce brand faced strategic uncertainty regarding customer persistence, repurchase velocity, and revenue concentration. While top-line customer acquisition was expanding, leadership lacked visibility into customer lifetime value (LTV), did not know what share of revenue was generated by repeat buyers versus one-time shoppers, and lacked automated SQL segmentation pipelines.</w:t>
      </w:r>
    </w:p>
    <w:p>
      <w:pPr>
        <w:spacing w:before="40" w:after="120" w:line="276" w:lineRule="auto"/>
        <w:jc w:val="both"/>
      </w:pPr>
      <w:r>
        <w:rPr>
          <w:rFonts w:ascii="Calibri" w:hAnsi="Calibri"/>
          <w:b/>
          <w:color w:val="0F172A"/>
          <w:sz w:val="22"/>
        </w:rPr>
        <w:t xml:space="preserve">Dataset Description &amp; Cohort Engineering: </w:t>
      </w:r>
      <w:r>
        <w:rPr>
          <w:rFonts w:ascii="Calibri" w:hAnsi="Calibri"/>
          <w:color w:val="334155"/>
          <w:sz w:val="22"/>
        </w:rPr>
        <w:t>The underlying dataset (raw_customer_data.csv) tracked 2,336 customer transactions spanning Jan 1, 2023 through Dec 31, 2024 (24 months) across 850 distinct customer accounts. Attributes included Transaction_ID, Customer_ID, Demographic &amp; Regional data, Acquisition_Channel, Product vertical, Unit_Price, Quantity, Discounts, Total_Spend, and Payment_Method. The cleaning script (customer_cleaning.py) removed 30 duplicate entries, imputed categorical missing fields, standardized date types, and engineered analytical features including Cohort_Month (first purchase date) and Cohort_Index (months elapsed since acquisition).</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560"/>
        <w:gridCol w:w="1560"/>
        <w:gridCol w:w="1560"/>
        <w:gridCol w:w="1560"/>
        <w:gridCol w:w="1560"/>
        <w:gridCol w:w="1560"/>
      </w:tblGrid>
      <w:tr>
        <w:tc>
          <w:tcPr>
            <w:tcW w:type="dxa" w:w="2304"/>
            <w:shd w:fill="1A0538"/>
            <w:tcMar>
              <w:top w:w="120" w:type="dxa"/>
              <w:bottom w:w="120" w:type="dxa"/>
              <w:left w:w="140" w:type="dxa"/>
              <w:right w:w="140" w:type="dxa"/>
            </w:tcMar>
          </w:tcPr>
          <w:p>
            <w:pPr>
              <w:jc w:val="left"/>
            </w:pPr>
            <w:r>
              <w:rPr>
                <w:rFonts w:ascii="Calibri" w:hAnsi="Calibri"/>
                <w:b/>
                <w:color w:val="FFFFFF"/>
                <w:sz w:val="20"/>
              </w:rPr>
              <w:t>Segment / Dimension</w:t>
            </w:r>
          </w:p>
        </w:tc>
        <w:tc>
          <w:tcPr>
            <w:tcW w:type="dxa" w:w="1296"/>
            <w:shd w:fill="1A0538"/>
            <w:tcMar>
              <w:top w:w="120" w:type="dxa"/>
              <w:bottom w:w="120" w:type="dxa"/>
              <w:left w:w="140" w:type="dxa"/>
              <w:right w:w="140" w:type="dxa"/>
            </w:tcMar>
          </w:tcPr>
          <w:p>
            <w:pPr>
              <w:jc w:val="left"/>
            </w:pPr>
            <w:r>
              <w:rPr>
                <w:rFonts w:ascii="Calibri" w:hAnsi="Calibri"/>
                <w:b/>
                <w:color w:val="FFFFFF"/>
                <w:sz w:val="20"/>
              </w:rPr>
              <w:t>Customer Count</w:t>
            </w:r>
          </w:p>
        </w:tc>
        <w:tc>
          <w:tcPr>
            <w:tcW w:type="dxa" w:w="1584"/>
            <w:shd w:fill="1A0538"/>
            <w:tcMar>
              <w:top w:w="120" w:type="dxa"/>
              <w:bottom w:w="120" w:type="dxa"/>
              <w:left w:w="140" w:type="dxa"/>
              <w:right w:w="140" w:type="dxa"/>
            </w:tcMar>
          </w:tcPr>
          <w:p>
            <w:pPr>
              <w:jc w:val="left"/>
            </w:pPr>
            <w:r>
              <w:rPr>
                <w:rFonts w:ascii="Calibri" w:hAnsi="Calibri"/>
                <w:b/>
                <w:color w:val="FFFFFF"/>
                <w:sz w:val="20"/>
              </w:rPr>
              <w:t>% Customer Base</w:t>
            </w:r>
          </w:p>
        </w:tc>
        <w:tc>
          <w:tcPr>
            <w:tcW w:type="dxa" w:w="1728"/>
            <w:shd w:fill="1A0538"/>
            <w:tcMar>
              <w:top w:w="120" w:type="dxa"/>
              <w:bottom w:w="120" w:type="dxa"/>
              <w:left w:w="140" w:type="dxa"/>
              <w:right w:w="140" w:type="dxa"/>
            </w:tcMar>
          </w:tcPr>
          <w:p>
            <w:pPr>
              <w:jc w:val="left"/>
            </w:pPr>
            <w:r>
              <w:rPr>
                <w:rFonts w:ascii="Calibri" w:hAnsi="Calibri"/>
                <w:b/>
                <w:color w:val="FFFFFF"/>
                <w:sz w:val="20"/>
              </w:rPr>
              <w:t>Total Revenue ($)</w:t>
            </w:r>
          </w:p>
        </w:tc>
        <w:tc>
          <w:tcPr>
            <w:tcW w:type="dxa" w:w="1440"/>
            <w:shd w:fill="1A0538"/>
            <w:tcMar>
              <w:top w:w="120" w:type="dxa"/>
              <w:bottom w:w="120" w:type="dxa"/>
              <w:left w:w="140" w:type="dxa"/>
              <w:right w:w="140" w:type="dxa"/>
            </w:tcMar>
          </w:tcPr>
          <w:p>
            <w:pPr>
              <w:jc w:val="left"/>
            </w:pPr>
            <w:r>
              <w:rPr>
                <w:rFonts w:ascii="Calibri" w:hAnsi="Calibri"/>
                <w:b/>
                <w:color w:val="FFFFFF"/>
                <w:sz w:val="20"/>
              </w:rPr>
              <w:t>% Total Revenue</w:t>
            </w:r>
          </w:p>
        </w:tc>
        <w:tc>
          <w:tcPr>
            <w:tcW w:type="dxa" w:w="1440"/>
            <w:shd w:fill="1A0538"/>
            <w:tcMar>
              <w:top w:w="120" w:type="dxa"/>
              <w:bottom w:w="120" w:type="dxa"/>
              <w:left w:w="140" w:type="dxa"/>
              <w:right w:w="140" w:type="dxa"/>
            </w:tcMar>
          </w:tcPr>
          <w:p>
            <w:pPr>
              <w:jc w:val="left"/>
            </w:pPr>
            <w:r>
              <w:rPr>
                <w:rFonts w:ascii="Calibri" w:hAnsi="Calibri"/>
                <w:b/>
                <w:color w:val="FFFFFF"/>
                <w:sz w:val="20"/>
              </w:rPr>
              <w:t>Average LTV ($)</w:t>
            </w:r>
          </w:p>
        </w:tc>
      </w:tr>
      <w:tr>
        <w:tc>
          <w:tcPr>
            <w:tcW w:type="dxa" w:w="2304"/>
            <w:shd w:fill="FFFFFF"/>
            <w:tcMar>
              <w:top w:w="80" w:type="dxa"/>
              <w:bottom w:w="80" w:type="dxa"/>
              <w:left w:w="120" w:type="dxa"/>
              <w:right w:w="120" w:type="dxa"/>
            </w:tcMar>
          </w:tcPr>
          <w:p>
            <w:pPr>
              <w:jc w:val="left"/>
            </w:pPr>
            <w:r>
              <w:rPr>
                <w:rFonts w:ascii="Calibri" w:hAnsi="Calibri"/>
                <w:color w:val="0F172A"/>
                <w:sz w:val="19"/>
              </w:rPr>
              <w:t>Champions (RFM 555)</w:t>
            </w:r>
          </w:p>
        </w:tc>
        <w:tc>
          <w:tcPr>
            <w:tcW w:type="dxa" w:w="1296"/>
            <w:shd w:fill="FFFFFF"/>
            <w:tcMar>
              <w:top w:w="80" w:type="dxa"/>
              <w:bottom w:w="80" w:type="dxa"/>
              <w:left w:w="120" w:type="dxa"/>
              <w:right w:w="120" w:type="dxa"/>
            </w:tcMar>
          </w:tcPr>
          <w:p>
            <w:pPr>
              <w:jc w:val="left"/>
            </w:pPr>
            <w:r>
              <w:rPr>
                <w:rFonts w:ascii="Calibri" w:hAnsi="Calibri"/>
                <w:color w:val="0F172A"/>
                <w:sz w:val="19"/>
              </w:rPr>
              <w:t>200</w:t>
            </w:r>
          </w:p>
        </w:tc>
        <w:tc>
          <w:tcPr>
            <w:tcW w:type="dxa" w:w="1584"/>
            <w:shd w:fill="FFFFFF"/>
            <w:tcMar>
              <w:top w:w="80" w:type="dxa"/>
              <w:bottom w:w="80" w:type="dxa"/>
              <w:left w:w="120" w:type="dxa"/>
              <w:right w:w="120" w:type="dxa"/>
            </w:tcMar>
          </w:tcPr>
          <w:p>
            <w:pPr>
              <w:jc w:val="left"/>
            </w:pPr>
            <w:r>
              <w:rPr>
                <w:rFonts w:ascii="Calibri" w:hAnsi="Calibri"/>
                <w:color w:val="0F172A"/>
                <w:sz w:val="19"/>
              </w:rPr>
              <w:t>23.53%</w:t>
            </w:r>
          </w:p>
        </w:tc>
        <w:tc>
          <w:tcPr>
            <w:tcW w:type="dxa" w:w="1728"/>
            <w:shd w:fill="FFFFFF"/>
            <w:tcMar>
              <w:top w:w="80" w:type="dxa"/>
              <w:bottom w:w="80" w:type="dxa"/>
              <w:left w:w="120" w:type="dxa"/>
              <w:right w:w="120" w:type="dxa"/>
            </w:tcMar>
          </w:tcPr>
          <w:p>
            <w:pPr>
              <w:jc w:val="left"/>
            </w:pPr>
            <w:r>
              <w:rPr>
                <w:rFonts w:ascii="Calibri" w:hAnsi="Calibri"/>
                <w:color w:val="0F172A"/>
                <w:sz w:val="19"/>
              </w:rPr>
              <w:t>$162,963.95</w:t>
            </w:r>
          </w:p>
        </w:tc>
        <w:tc>
          <w:tcPr>
            <w:tcW w:type="dxa" w:w="1440"/>
            <w:shd w:fill="FFFFFF"/>
            <w:tcMar>
              <w:top w:w="80" w:type="dxa"/>
              <w:bottom w:w="80" w:type="dxa"/>
              <w:left w:w="120" w:type="dxa"/>
              <w:right w:w="120" w:type="dxa"/>
            </w:tcMar>
          </w:tcPr>
          <w:p>
            <w:pPr>
              <w:jc w:val="left"/>
            </w:pPr>
            <w:r>
              <w:rPr>
                <w:rFonts w:ascii="Calibri" w:hAnsi="Calibri"/>
                <w:color w:val="0F172A"/>
                <w:sz w:val="19"/>
              </w:rPr>
              <w:t>49.83%</w:t>
            </w:r>
          </w:p>
        </w:tc>
        <w:tc>
          <w:tcPr>
            <w:tcW w:type="dxa" w:w="1440"/>
            <w:shd w:fill="FFFFFF"/>
            <w:tcMar>
              <w:top w:w="80" w:type="dxa"/>
              <w:bottom w:w="80" w:type="dxa"/>
              <w:left w:w="120" w:type="dxa"/>
              <w:right w:w="120" w:type="dxa"/>
            </w:tcMar>
          </w:tcPr>
          <w:p>
            <w:pPr>
              <w:jc w:val="left"/>
            </w:pPr>
            <w:r>
              <w:rPr>
                <w:rFonts w:ascii="Calibri" w:hAnsi="Calibri"/>
                <w:color w:val="0F172A"/>
                <w:sz w:val="19"/>
              </w:rPr>
              <w:t>$814.82</w:t>
            </w:r>
          </w:p>
        </w:tc>
      </w:tr>
      <w:tr>
        <w:tc>
          <w:tcPr>
            <w:tcW w:type="dxa" w:w="2304"/>
            <w:shd w:fill="F8FAFC"/>
            <w:tcMar>
              <w:top w:w="80" w:type="dxa"/>
              <w:bottom w:w="80" w:type="dxa"/>
              <w:left w:w="120" w:type="dxa"/>
              <w:right w:w="120" w:type="dxa"/>
            </w:tcMar>
          </w:tcPr>
          <w:p>
            <w:pPr>
              <w:jc w:val="left"/>
            </w:pPr>
            <w:r>
              <w:rPr>
                <w:rFonts w:ascii="Calibri" w:hAnsi="Calibri"/>
                <w:color w:val="0F172A"/>
                <w:sz w:val="19"/>
              </w:rPr>
              <w:t>Loyal Customers</w:t>
            </w:r>
          </w:p>
        </w:tc>
        <w:tc>
          <w:tcPr>
            <w:tcW w:type="dxa" w:w="1296"/>
            <w:shd w:fill="F8FAFC"/>
            <w:tcMar>
              <w:top w:w="80" w:type="dxa"/>
              <w:bottom w:w="80" w:type="dxa"/>
              <w:left w:w="120" w:type="dxa"/>
              <w:right w:w="120" w:type="dxa"/>
            </w:tcMar>
          </w:tcPr>
          <w:p>
            <w:pPr>
              <w:jc w:val="left"/>
            </w:pPr>
            <w:r>
              <w:rPr>
                <w:rFonts w:ascii="Calibri" w:hAnsi="Calibri"/>
                <w:color w:val="0F172A"/>
                <w:sz w:val="19"/>
              </w:rPr>
              <w:t>100</w:t>
            </w:r>
          </w:p>
        </w:tc>
        <w:tc>
          <w:tcPr>
            <w:tcW w:type="dxa" w:w="1584"/>
            <w:shd w:fill="F8FAFC"/>
            <w:tcMar>
              <w:top w:w="80" w:type="dxa"/>
              <w:bottom w:w="80" w:type="dxa"/>
              <w:left w:w="120" w:type="dxa"/>
              <w:right w:w="120" w:type="dxa"/>
            </w:tcMar>
          </w:tcPr>
          <w:p>
            <w:pPr>
              <w:jc w:val="left"/>
            </w:pPr>
            <w:r>
              <w:rPr>
                <w:rFonts w:ascii="Calibri" w:hAnsi="Calibri"/>
                <w:color w:val="0F172A"/>
                <w:sz w:val="19"/>
              </w:rPr>
              <w:t>11.76%</w:t>
            </w:r>
          </w:p>
        </w:tc>
        <w:tc>
          <w:tcPr>
            <w:tcW w:type="dxa" w:w="1728"/>
            <w:shd w:fill="F8FAFC"/>
            <w:tcMar>
              <w:top w:w="80" w:type="dxa"/>
              <w:bottom w:w="80" w:type="dxa"/>
              <w:left w:w="120" w:type="dxa"/>
              <w:right w:w="120" w:type="dxa"/>
            </w:tcMar>
          </w:tcPr>
          <w:p>
            <w:pPr>
              <w:jc w:val="left"/>
            </w:pPr>
            <w:r>
              <w:rPr>
                <w:rFonts w:ascii="Calibri" w:hAnsi="Calibri"/>
                <w:color w:val="0F172A"/>
                <w:sz w:val="19"/>
              </w:rPr>
              <w:t>$64,374.88</w:t>
            </w:r>
          </w:p>
        </w:tc>
        <w:tc>
          <w:tcPr>
            <w:tcW w:type="dxa" w:w="1440"/>
            <w:shd w:fill="F8FAFC"/>
            <w:tcMar>
              <w:top w:w="80" w:type="dxa"/>
              <w:bottom w:w="80" w:type="dxa"/>
              <w:left w:w="120" w:type="dxa"/>
              <w:right w:w="120" w:type="dxa"/>
            </w:tcMar>
          </w:tcPr>
          <w:p>
            <w:pPr>
              <w:jc w:val="left"/>
            </w:pPr>
            <w:r>
              <w:rPr>
                <w:rFonts w:ascii="Calibri" w:hAnsi="Calibri"/>
                <w:color w:val="0F172A"/>
                <w:sz w:val="19"/>
              </w:rPr>
              <w:t>19.68%</w:t>
            </w:r>
          </w:p>
        </w:tc>
        <w:tc>
          <w:tcPr>
            <w:tcW w:type="dxa" w:w="1440"/>
            <w:shd w:fill="F8FAFC"/>
            <w:tcMar>
              <w:top w:w="80" w:type="dxa"/>
              <w:bottom w:w="80" w:type="dxa"/>
              <w:left w:w="120" w:type="dxa"/>
              <w:right w:w="120" w:type="dxa"/>
            </w:tcMar>
          </w:tcPr>
          <w:p>
            <w:pPr>
              <w:jc w:val="left"/>
            </w:pPr>
            <w:r>
              <w:rPr>
                <w:rFonts w:ascii="Calibri" w:hAnsi="Calibri"/>
                <w:color w:val="0F172A"/>
                <w:sz w:val="19"/>
              </w:rPr>
              <w:t>$643.75</w:t>
            </w:r>
          </w:p>
        </w:tc>
      </w:tr>
      <w:tr>
        <w:tc>
          <w:tcPr>
            <w:tcW w:type="dxa" w:w="2304"/>
            <w:shd w:fill="FFFFFF"/>
            <w:tcMar>
              <w:top w:w="80" w:type="dxa"/>
              <w:bottom w:w="80" w:type="dxa"/>
              <w:left w:w="120" w:type="dxa"/>
              <w:right w:w="120" w:type="dxa"/>
            </w:tcMar>
          </w:tcPr>
          <w:p>
            <w:pPr>
              <w:jc w:val="left"/>
            </w:pPr>
            <w:r>
              <w:rPr>
                <w:rFonts w:ascii="Calibri" w:hAnsi="Calibri"/>
                <w:color w:val="0F172A"/>
                <w:sz w:val="19"/>
              </w:rPr>
              <w:t>Potential Loyalists</w:t>
            </w:r>
          </w:p>
        </w:tc>
        <w:tc>
          <w:tcPr>
            <w:tcW w:type="dxa" w:w="1296"/>
            <w:shd w:fill="FFFFFF"/>
            <w:tcMar>
              <w:top w:w="80" w:type="dxa"/>
              <w:bottom w:w="80" w:type="dxa"/>
              <w:left w:w="120" w:type="dxa"/>
              <w:right w:w="120" w:type="dxa"/>
            </w:tcMar>
          </w:tcPr>
          <w:p>
            <w:pPr>
              <w:jc w:val="left"/>
            </w:pPr>
            <w:r>
              <w:rPr>
                <w:rFonts w:ascii="Calibri" w:hAnsi="Calibri"/>
                <w:color w:val="0F172A"/>
                <w:sz w:val="19"/>
              </w:rPr>
              <w:t>100</w:t>
            </w:r>
          </w:p>
        </w:tc>
        <w:tc>
          <w:tcPr>
            <w:tcW w:type="dxa" w:w="1584"/>
            <w:shd w:fill="FFFFFF"/>
            <w:tcMar>
              <w:top w:w="80" w:type="dxa"/>
              <w:bottom w:w="80" w:type="dxa"/>
              <w:left w:w="120" w:type="dxa"/>
              <w:right w:w="120" w:type="dxa"/>
            </w:tcMar>
          </w:tcPr>
          <w:p>
            <w:pPr>
              <w:jc w:val="left"/>
            </w:pPr>
            <w:r>
              <w:rPr>
                <w:rFonts w:ascii="Calibri" w:hAnsi="Calibri"/>
                <w:color w:val="0F172A"/>
                <w:sz w:val="19"/>
              </w:rPr>
              <w:t>11.76%</w:t>
            </w:r>
          </w:p>
        </w:tc>
        <w:tc>
          <w:tcPr>
            <w:tcW w:type="dxa" w:w="1728"/>
            <w:shd w:fill="FFFFFF"/>
            <w:tcMar>
              <w:top w:w="80" w:type="dxa"/>
              <w:bottom w:w="80" w:type="dxa"/>
              <w:left w:w="120" w:type="dxa"/>
              <w:right w:w="120" w:type="dxa"/>
            </w:tcMar>
          </w:tcPr>
          <w:p>
            <w:pPr>
              <w:jc w:val="left"/>
            </w:pPr>
            <w:r>
              <w:rPr>
                <w:rFonts w:ascii="Calibri" w:hAnsi="Calibri"/>
                <w:color w:val="0F172A"/>
                <w:sz w:val="19"/>
              </w:rPr>
              <w:t>$37,169.68</w:t>
            </w:r>
          </w:p>
        </w:tc>
        <w:tc>
          <w:tcPr>
            <w:tcW w:type="dxa" w:w="1440"/>
            <w:shd w:fill="FFFFFF"/>
            <w:tcMar>
              <w:top w:w="80" w:type="dxa"/>
              <w:bottom w:w="80" w:type="dxa"/>
              <w:left w:w="120" w:type="dxa"/>
              <w:right w:w="120" w:type="dxa"/>
            </w:tcMar>
          </w:tcPr>
          <w:p>
            <w:pPr>
              <w:jc w:val="left"/>
            </w:pPr>
            <w:r>
              <w:rPr>
                <w:rFonts w:ascii="Calibri" w:hAnsi="Calibri"/>
                <w:color w:val="0F172A"/>
                <w:sz w:val="19"/>
              </w:rPr>
              <w:t>11.36%</w:t>
            </w:r>
          </w:p>
        </w:tc>
        <w:tc>
          <w:tcPr>
            <w:tcW w:type="dxa" w:w="1440"/>
            <w:shd w:fill="FFFFFF"/>
            <w:tcMar>
              <w:top w:w="80" w:type="dxa"/>
              <w:bottom w:w="80" w:type="dxa"/>
              <w:left w:w="120" w:type="dxa"/>
              <w:right w:w="120" w:type="dxa"/>
            </w:tcMar>
          </w:tcPr>
          <w:p>
            <w:pPr>
              <w:jc w:val="left"/>
            </w:pPr>
            <w:r>
              <w:rPr>
                <w:rFonts w:ascii="Calibri" w:hAnsi="Calibri"/>
                <w:color w:val="0F172A"/>
                <w:sz w:val="19"/>
              </w:rPr>
              <w:t>$371.70</w:t>
            </w:r>
          </w:p>
        </w:tc>
      </w:tr>
      <w:tr>
        <w:tc>
          <w:tcPr>
            <w:tcW w:type="dxa" w:w="2304"/>
            <w:shd w:fill="F8FAFC"/>
            <w:tcMar>
              <w:top w:w="80" w:type="dxa"/>
              <w:bottom w:w="80" w:type="dxa"/>
              <w:left w:w="120" w:type="dxa"/>
              <w:right w:w="120" w:type="dxa"/>
            </w:tcMar>
          </w:tcPr>
          <w:p>
            <w:pPr>
              <w:jc w:val="left"/>
            </w:pPr>
            <w:r>
              <w:rPr>
                <w:rFonts w:ascii="Calibri" w:hAnsi="Calibri"/>
                <w:color w:val="0F172A"/>
                <w:sz w:val="19"/>
              </w:rPr>
              <w:t>At Risk (High Spenders)</w:t>
            </w:r>
          </w:p>
        </w:tc>
        <w:tc>
          <w:tcPr>
            <w:tcW w:type="dxa" w:w="1296"/>
            <w:shd w:fill="F8FAFC"/>
            <w:tcMar>
              <w:top w:w="80" w:type="dxa"/>
              <w:bottom w:w="80" w:type="dxa"/>
              <w:left w:w="120" w:type="dxa"/>
              <w:right w:w="120" w:type="dxa"/>
            </w:tcMar>
          </w:tcPr>
          <w:p>
            <w:pPr>
              <w:jc w:val="left"/>
            </w:pPr>
            <w:r>
              <w:rPr>
                <w:rFonts w:ascii="Calibri" w:hAnsi="Calibri"/>
                <w:color w:val="0F172A"/>
                <w:sz w:val="19"/>
              </w:rPr>
              <w:t>50</w:t>
            </w:r>
          </w:p>
        </w:tc>
        <w:tc>
          <w:tcPr>
            <w:tcW w:type="dxa" w:w="1584"/>
            <w:shd w:fill="F8FAFC"/>
            <w:tcMar>
              <w:top w:w="80" w:type="dxa"/>
              <w:bottom w:w="80" w:type="dxa"/>
              <w:left w:w="120" w:type="dxa"/>
              <w:right w:w="120" w:type="dxa"/>
            </w:tcMar>
          </w:tcPr>
          <w:p>
            <w:pPr>
              <w:jc w:val="left"/>
            </w:pPr>
            <w:r>
              <w:rPr>
                <w:rFonts w:ascii="Calibri" w:hAnsi="Calibri"/>
                <w:color w:val="0F172A"/>
                <w:sz w:val="19"/>
              </w:rPr>
              <w:t>5.88%</w:t>
            </w:r>
          </w:p>
        </w:tc>
        <w:tc>
          <w:tcPr>
            <w:tcW w:type="dxa" w:w="1728"/>
            <w:shd w:fill="F8FAFC"/>
            <w:tcMar>
              <w:top w:w="80" w:type="dxa"/>
              <w:bottom w:w="80" w:type="dxa"/>
              <w:left w:w="120" w:type="dxa"/>
              <w:right w:w="120" w:type="dxa"/>
            </w:tcMar>
          </w:tcPr>
          <w:p>
            <w:pPr>
              <w:jc w:val="left"/>
            </w:pPr>
            <w:r>
              <w:rPr>
                <w:rFonts w:ascii="Calibri" w:hAnsi="Calibri"/>
                <w:color w:val="0F172A"/>
                <w:sz w:val="19"/>
              </w:rPr>
              <w:t>$19,531.14</w:t>
            </w:r>
          </w:p>
        </w:tc>
        <w:tc>
          <w:tcPr>
            <w:tcW w:type="dxa" w:w="1440"/>
            <w:shd w:fill="F8FAFC"/>
            <w:tcMar>
              <w:top w:w="80" w:type="dxa"/>
              <w:bottom w:w="80" w:type="dxa"/>
              <w:left w:w="120" w:type="dxa"/>
              <w:right w:w="120" w:type="dxa"/>
            </w:tcMar>
          </w:tcPr>
          <w:p>
            <w:pPr>
              <w:jc w:val="left"/>
            </w:pPr>
            <w:r>
              <w:rPr>
                <w:rFonts w:ascii="Calibri" w:hAnsi="Calibri"/>
                <w:color w:val="0F172A"/>
                <w:sz w:val="19"/>
              </w:rPr>
              <w:t>5.97%</w:t>
            </w:r>
          </w:p>
        </w:tc>
        <w:tc>
          <w:tcPr>
            <w:tcW w:type="dxa" w:w="1440"/>
            <w:shd w:fill="F8FAFC"/>
            <w:tcMar>
              <w:top w:w="80" w:type="dxa"/>
              <w:bottom w:w="80" w:type="dxa"/>
              <w:left w:w="120" w:type="dxa"/>
              <w:right w:w="120" w:type="dxa"/>
            </w:tcMar>
          </w:tcPr>
          <w:p>
            <w:pPr>
              <w:jc w:val="left"/>
            </w:pPr>
            <w:r>
              <w:rPr>
                <w:rFonts w:ascii="Calibri" w:hAnsi="Calibri"/>
                <w:color w:val="0F172A"/>
                <w:sz w:val="19"/>
              </w:rPr>
              <w:t>$390.62</w:t>
            </w:r>
          </w:p>
        </w:tc>
      </w:tr>
      <w:tr>
        <w:tc>
          <w:tcPr>
            <w:tcW w:type="dxa" w:w="2304"/>
            <w:shd w:fill="FFFFFF"/>
            <w:tcMar>
              <w:top w:w="80" w:type="dxa"/>
              <w:bottom w:w="80" w:type="dxa"/>
              <w:left w:w="120" w:type="dxa"/>
              <w:right w:w="120" w:type="dxa"/>
            </w:tcMar>
          </w:tcPr>
          <w:p>
            <w:pPr>
              <w:jc w:val="left"/>
            </w:pPr>
            <w:r>
              <w:rPr>
                <w:rFonts w:ascii="Calibri" w:hAnsi="Calibri"/>
                <w:color w:val="0F172A"/>
                <w:sz w:val="19"/>
              </w:rPr>
              <w:t>Need Attention</w:t>
            </w:r>
          </w:p>
        </w:tc>
        <w:tc>
          <w:tcPr>
            <w:tcW w:type="dxa" w:w="1296"/>
            <w:shd w:fill="FFFFFF"/>
            <w:tcMar>
              <w:top w:w="80" w:type="dxa"/>
              <w:bottom w:w="80" w:type="dxa"/>
              <w:left w:w="120" w:type="dxa"/>
              <w:right w:w="120" w:type="dxa"/>
            </w:tcMar>
          </w:tcPr>
          <w:p>
            <w:pPr>
              <w:jc w:val="left"/>
            </w:pPr>
            <w:r>
              <w:rPr>
                <w:rFonts w:ascii="Calibri" w:hAnsi="Calibri"/>
                <w:color w:val="0F172A"/>
                <w:sz w:val="19"/>
              </w:rPr>
              <w:t>75</w:t>
            </w:r>
          </w:p>
        </w:tc>
        <w:tc>
          <w:tcPr>
            <w:tcW w:type="dxa" w:w="1584"/>
            <w:shd w:fill="FFFFFF"/>
            <w:tcMar>
              <w:top w:w="80" w:type="dxa"/>
              <w:bottom w:w="80" w:type="dxa"/>
              <w:left w:w="120" w:type="dxa"/>
              <w:right w:w="120" w:type="dxa"/>
            </w:tcMar>
          </w:tcPr>
          <w:p>
            <w:pPr>
              <w:jc w:val="left"/>
            </w:pPr>
            <w:r>
              <w:rPr>
                <w:rFonts w:ascii="Calibri" w:hAnsi="Calibri"/>
                <w:color w:val="0F172A"/>
                <w:sz w:val="19"/>
              </w:rPr>
              <w:t>8.82%</w:t>
            </w:r>
          </w:p>
        </w:tc>
        <w:tc>
          <w:tcPr>
            <w:tcW w:type="dxa" w:w="1728"/>
            <w:shd w:fill="FFFFFF"/>
            <w:tcMar>
              <w:top w:w="80" w:type="dxa"/>
              <w:bottom w:w="80" w:type="dxa"/>
              <w:left w:w="120" w:type="dxa"/>
              <w:right w:w="120" w:type="dxa"/>
            </w:tcMar>
          </w:tcPr>
          <w:p>
            <w:pPr>
              <w:jc w:val="left"/>
            </w:pPr>
            <w:r>
              <w:rPr>
                <w:rFonts w:ascii="Calibri" w:hAnsi="Calibri"/>
                <w:color w:val="0F172A"/>
                <w:sz w:val="19"/>
              </w:rPr>
              <w:t>$15,248.30</w:t>
            </w:r>
          </w:p>
        </w:tc>
        <w:tc>
          <w:tcPr>
            <w:tcW w:type="dxa" w:w="1440"/>
            <w:shd w:fill="FFFFFF"/>
            <w:tcMar>
              <w:top w:w="80" w:type="dxa"/>
              <w:bottom w:w="80" w:type="dxa"/>
              <w:left w:w="120" w:type="dxa"/>
              <w:right w:w="120" w:type="dxa"/>
            </w:tcMar>
          </w:tcPr>
          <w:p>
            <w:pPr>
              <w:jc w:val="left"/>
            </w:pPr>
            <w:r>
              <w:rPr>
                <w:rFonts w:ascii="Calibri" w:hAnsi="Calibri"/>
                <w:color w:val="0F172A"/>
                <w:sz w:val="19"/>
              </w:rPr>
              <w:t>4.66%</w:t>
            </w:r>
          </w:p>
        </w:tc>
        <w:tc>
          <w:tcPr>
            <w:tcW w:type="dxa" w:w="1440"/>
            <w:shd w:fill="FFFFFF"/>
            <w:tcMar>
              <w:top w:w="80" w:type="dxa"/>
              <w:bottom w:w="80" w:type="dxa"/>
              <w:left w:w="120" w:type="dxa"/>
              <w:right w:w="120" w:type="dxa"/>
            </w:tcMar>
          </w:tcPr>
          <w:p>
            <w:pPr>
              <w:jc w:val="left"/>
            </w:pPr>
            <w:r>
              <w:rPr>
                <w:rFonts w:ascii="Calibri" w:hAnsi="Calibri"/>
                <w:color w:val="0F172A"/>
                <w:sz w:val="19"/>
              </w:rPr>
              <w:t>$203.31</w:t>
            </w:r>
          </w:p>
        </w:tc>
      </w:tr>
      <w:tr>
        <w:tc>
          <w:tcPr>
            <w:tcW w:type="dxa" w:w="2304"/>
            <w:shd w:fill="F8FAFC"/>
            <w:tcMar>
              <w:top w:w="80" w:type="dxa"/>
              <w:bottom w:w="80" w:type="dxa"/>
              <w:left w:w="120" w:type="dxa"/>
              <w:right w:w="120" w:type="dxa"/>
            </w:tcMar>
          </w:tcPr>
          <w:p>
            <w:pPr>
              <w:jc w:val="left"/>
            </w:pPr>
            <w:r>
              <w:rPr>
                <w:rFonts w:ascii="Calibri" w:hAnsi="Calibri"/>
                <w:color w:val="0F172A"/>
                <w:sz w:val="19"/>
              </w:rPr>
              <w:t>Hibernating / Dormant</w:t>
            </w:r>
          </w:p>
        </w:tc>
        <w:tc>
          <w:tcPr>
            <w:tcW w:type="dxa" w:w="1296"/>
            <w:shd w:fill="F8FAFC"/>
            <w:tcMar>
              <w:top w:w="80" w:type="dxa"/>
              <w:bottom w:w="80" w:type="dxa"/>
              <w:left w:w="120" w:type="dxa"/>
              <w:right w:w="120" w:type="dxa"/>
            </w:tcMar>
          </w:tcPr>
          <w:p>
            <w:pPr>
              <w:jc w:val="left"/>
            </w:pPr>
            <w:r>
              <w:rPr>
                <w:rFonts w:ascii="Calibri" w:hAnsi="Calibri"/>
                <w:color w:val="0F172A"/>
                <w:sz w:val="19"/>
              </w:rPr>
              <w:t>75</w:t>
            </w:r>
          </w:p>
        </w:tc>
        <w:tc>
          <w:tcPr>
            <w:tcW w:type="dxa" w:w="1584"/>
            <w:shd w:fill="F8FAFC"/>
            <w:tcMar>
              <w:top w:w="80" w:type="dxa"/>
              <w:bottom w:w="80" w:type="dxa"/>
              <w:left w:w="120" w:type="dxa"/>
              <w:right w:w="120" w:type="dxa"/>
            </w:tcMar>
          </w:tcPr>
          <w:p>
            <w:pPr>
              <w:jc w:val="left"/>
            </w:pPr>
            <w:r>
              <w:rPr>
                <w:rFonts w:ascii="Calibri" w:hAnsi="Calibri"/>
                <w:color w:val="0F172A"/>
                <w:sz w:val="19"/>
              </w:rPr>
              <w:t>8.82%</w:t>
            </w:r>
          </w:p>
        </w:tc>
        <w:tc>
          <w:tcPr>
            <w:tcW w:type="dxa" w:w="1728"/>
            <w:shd w:fill="F8FAFC"/>
            <w:tcMar>
              <w:top w:w="80" w:type="dxa"/>
              <w:bottom w:w="80" w:type="dxa"/>
              <w:left w:w="120" w:type="dxa"/>
              <w:right w:w="120" w:type="dxa"/>
            </w:tcMar>
          </w:tcPr>
          <w:p>
            <w:pPr>
              <w:jc w:val="left"/>
            </w:pPr>
            <w:r>
              <w:rPr>
                <w:rFonts w:ascii="Calibri" w:hAnsi="Calibri"/>
                <w:color w:val="0F172A"/>
                <w:sz w:val="19"/>
              </w:rPr>
              <w:t>$9,428.10</w:t>
            </w:r>
          </w:p>
        </w:tc>
        <w:tc>
          <w:tcPr>
            <w:tcW w:type="dxa" w:w="1440"/>
            <w:shd w:fill="F8FAFC"/>
            <w:tcMar>
              <w:top w:w="80" w:type="dxa"/>
              <w:bottom w:w="80" w:type="dxa"/>
              <w:left w:w="120" w:type="dxa"/>
              <w:right w:w="120" w:type="dxa"/>
            </w:tcMar>
          </w:tcPr>
          <w:p>
            <w:pPr>
              <w:jc w:val="left"/>
            </w:pPr>
            <w:r>
              <w:rPr>
                <w:rFonts w:ascii="Calibri" w:hAnsi="Calibri"/>
                <w:color w:val="0F172A"/>
                <w:sz w:val="19"/>
              </w:rPr>
              <w:t>2.88%</w:t>
            </w:r>
          </w:p>
        </w:tc>
        <w:tc>
          <w:tcPr>
            <w:tcW w:type="dxa" w:w="1440"/>
            <w:shd w:fill="F8FAFC"/>
            <w:tcMar>
              <w:top w:w="80" w:type="dxa"/>
              <w:bottom w:w="80" w:type="dxa"/>
              <w:left w:w="120" w:type="dxa"/>
              <w:right w:w="120" w:type="dxa"/>
            </w:tcMar>
          </w:tcPr>
          <w:p>
            <w:pPr>
              <w:jc w:val="left"/>
            </w:pPr>
            <w:r>
              <w:rPr>
                <w:rFonts w:ascii="Calibri" w:hAnsi="Calibri"/>
                <w:color w:val="0F172A"/>
                <w:sz w:val="19"/>
              </w:rPr>
              <w:t>$125.71</w:t>
            </w:r>
          </w:p>
        </w:tc>
      </w:tr>
      <w:tr>
        <w:tc>
          <w:tcPr>
            <w:tcW w:type="dxa" w:w="2304"/>
            <w:shd w:fill="FFFFFF"/>
            <w:tcMar>
              <w:top w:w="80" w:type="dxa"/>
              <w:bottom w:w="80" w:type="dxa"/>
              <w:left w:w="120" w:type="dxa"/>
              <w:right w:w="120" w:type="dxa"/>
            </w:tcMar>
          </w:tcPr>
          <w:p>
            <w:pPr>
              <w:jc w:val="left"/>
            </w:pPr>
            <w:r>
              <w:rPr>
                <w:rFonts w:ascii="Calibri" w:hAnsi="Calibri"/>
                <w:color w:val="0F172A"/>
                <w:sz w:val="19"/>
              </w:rPr>
              <w:t>Lost Customers</w:t>
            </w:r>
          </w:p>
        </w:tc>
        <w:tc>
          <w:tcPr>
            <w:tcW w:type="dxa" w:w="1296"/>
            <w:shd w:fill="FFFFFF"/>
            <w:tcMar>
              <w:top w:w="80" w:type="dxa"/>
              <w:bottom w:w="80" w:type="dxa"/>
              <w:left w:w="120" w:type="dxa"/>
              <w:right w:w="120" w:type="dxa"/>
            </w:tcMar>
          </w:tcPr>
          <w:p>
            <w:pPr>
              <w:jc w:val="left"/>
            </w:pPr>
            <w:r>
              <w:rPr>
                <w:rFonts w:ascii="Calibri" w:hAnsi="Calibri"/>
                <w:color w:val="0F172A"/>
                <w:sz w:val="19"/>
              </w:rPr>
              <w:t>50</w:t>
            </w:r>
          </w:p>
        </w:tc>
        <w:tc>
          <w:tcPr>
            <w:tcW w:type="dxa" w:w="1584"/>
            <w:shd w:fill="FFFFFF"/>
            <w:tcMar>
              <w:top w:w="80" w:type="dxa"/>
              <w:bottom w:w="80" w:type="dxa"/>
              <w:left w:w="120" w:type="dxa"/>
              <w:right w:w="120" w:type="dxa"/>
            </w:tcMar>
          </w:tcPr>
          <w:p>
            <w:pPr>
              <w:jc w:val="left"/>
            </w:pPr>
            <w:r>
              <w:rPr>
                <w:rFonts w:ascii="Calibri" w:hAnsi="Calibri"/>
                <w:color w:val="0F172A"/>
                <w:sz w:val="19"/>
              </w:rPr>
              <w:t>5.88%</w:t>
            </w:r>
          </w:p>
        </w:tc>
        <w:tc>
          <w:tcPr>
            <w:tcW w:type="dxa" w:w="1728"/>
            <w:shd w:fill="FFFFFF"/>
            <w:tcMar>
              <w:top w:w="80" w:type="dxa"/>
              <w:bottom w:w="80" w:type="dxa"/>
              <w:left w:w="120" w:type="dxa"/>
              <w:right w:w="120" w:type="dxa"/>
            </w:tcMar>
          </w:tcPr>
          <w:p>
            <w:pPr>
              <w:jc w:val="left"/>
            </w:pPr>
            <w:r>
              <w:rPr>
                <w:rFonts w:ascii="Calibri" w:hAnsi="Calibri"/>
                <w:color w:val="0F172A"/>
                <w:sz w:val="19"/>
              </w:rPr>
              <w:t>$5,241.32</w:t>
            </w:r>
          </w:p>
        </w:tc>
        <w:tc>
          <w:tcPr>
            <w:tcW w:type="dxa" w:w="1440"/>
            <w:shd w:fill="FFFFFF"/>
            <w:tcMar>
              <w:top w:w="80" w:type="dxa"/>
              <w:bottom w:w="80" w:type="dxa"/>
              <w:left w:w="120" w:type="dxa"/>
              <w:right w:w="120" w:type="dxa"/>
            </w:tcMar>
          </w:tcPr>
          <w:p>
            <w:pPr>
              <w:jc w:val="left"/>
            </w:pPr>
            <w:r>
              <w:rPr>
                <w:rFonts w:ascii="Calibri" w:hAnsi="Calibri"/>
                <w:color w:val="0F172A"/>
                <w:sz w:val="19"/>
              </w:rPr>
              <w:t>1.60%</w:t>
            </w:r>
          </w:p>
        </w:tc>
        <w:tc>
          <w:tcPr>
            <w:tcW w:type="dxa" w:w="1440"/>
            <w:shd w:fill="FFFFFF"/>
            <w:tcMar>
              <w:top w:w="80" w:type="dxa"/>
              <w:bottom w:w="80" w:type="dxa"/>
              <w:left w:w="120" w:type="dxa"/>
              <w:right w:w="120" w:type="dxa"/>
            </w:tcMar>
          </w:tcPr>
          <w:p>
            <w:pPr>
              <w:jc w:val="left"/>
            </w:pPr>
            <w:r>
              <w:rPr>
                <w:rFonts w:ascii="Calibri" w:hAnsi="Calibri"/>
                <w:color w:val="0F172A"/>
                <w:sz w:val="19"/>
              </w:rPr>
              <w:t>$104.83</w:t>
            </w:r>
          </w:p>
        </w:tc>
      </w:tr>
      <w:tr>
        <w:tc>
          <w:tcPr>
            <w:tcW w:type="dxa" w:w="2304"/>
            <w:shd w:fill="F8FAFC"/>
            <w:tcMar>
              <w:top w:w="80" w:type="dxa"/>
              <w:bottom w:w="80" w:type="dxa"/>
              <w:left w:w="120" w:type="dxa"/>
              <w:right w:w="120" w:type="dxa"/>
            </w:tcMar>
          </w:tcPr>
          <w:p>
            <w:pPr>
              <w:jc w:val="left"/>
            </w:pPr>
            <w:r>
              <w:rPr>
                <w:rFonts w:ascii="Calibri" w:hAnsi="Calibri"/>
                <w:color w:val="0F172A"/>
                <w:sz w:val="19"/>
              </w:rPr>
              <w:t>Recent Inactive</w:t>
            </w:r>
          </w:p>
        </w:tc>
        <w:tc>
          <w:tcPr>
            <w:tcW w:type="dxa" w:w="1296"/>
            <w:shd w:fill="F8FAFC"/>
            <w:tcMar>
              <w:top w:w="80" w:type="dxa"/>
              <w:bottom w:w="80" w:type="dxa"/>
              <w:left w:w="120" w:type="dxa"/>
              <w:right w:w="120" w:type="dxa"/>
            </w:tcMar>
          </w:tcPr>
          <w:p>
            <w:pPr>
              <w:jc w:val="left"/>
            </w:pPr>
            <w:r>
              <w:rPr>
                <w:rFonts w:ascii="Calibri" w:hAnsi="Calibri"/>
                <w:color w:val="0F172A"/>
                <w:sz w:val="19"/>
              </w:rPr>
              <w:t>200</w:t>
            </w:r>
          </w:p>
        </w:tc>
        <w:tc>
          <w:tcPr>
            <w:tcW w:type="dxa" w:w="1584"/>
            <w:shd w:fill="F8FAFC"/>
            <w:tcMar>
              <w:top w:w="80" w:type="dxa"/>
              <w:bottom w:w="80" w:type="dxa"/>
              <w:left w:w="120" w:type="dxa"/>
              <w:right w:w="120" w:type="dxa"/>
            </w:tcMar>
          </w:tcPr>
          <w:p>
            <w:pPr>
              <w:jc w:val="left"/>
            </w:pPr>
            <w:r>
              <w:rPr>
                <w:rFonts w:ascii="Calibri" w:hAnsi="Calibri"/>
                <w:color w:val="0F172A"/>
                <w:sz w:val="19"/>
              </w:rPr>
              <w:t>23.53%</w:t>
            </w:r>
          </w:p>
        </w:tc>
        <w:tc>
          <w:tcPr>
            <w:tcW w:type="dxa" w:w="1728"/>
            <w:shd w:fill="F8FAFC"/>
            <w:tcMar>
              <w:top w:w="80" w:type="dxa"/>
              <w:bottom w:w="80" w:type="dxa"/>
              <w:left w:w="120" w:type="dxa"/>
              <w:right w:w="120" w:type="dxa"/>
            </w:tcMar>
          </w:tcPr>
          <w:p>
            <w:pPr>
              <w:jc w:val="left"/>
            </w:pPr>
            <w:r>
              <w:rPr>
                <w:rFonts w:ascii="Calibri" w:hAnsi="Calibri"/>
                <w:color w:val="0F172A"/>
                <w:sz w:val="19"/>
              </w:rPr>
              <w:t>$13,100.00</w:t>
            </w:r>
          </w:p>
        </w:tc>
        <w:tc>
          <w:tcPr>
            <w:tcW w:type="dxa" w:w="1440"/>
            <w:shd w:fill="F8FAFC"/>
            <w:tcMar>
              <w:top w:w="80" w:type="dxa"/>
              <w:bottom w:w="80" w:type="dxa"/>
              <w:left w:w="120" w:type="dxa"/>
              <w:right w:w="120" w:type="dxa"/>
            </w:tcMar>
          </w:tcPr>
          <w:p>
            <w:pPr>
              <w:jc w:val="left"/>
            </w:pPr>
            <w:r>
              <w:rPr>
                <w:rFonts w:ascii="Calibri" w:hAnsi="Calibri"/>
                <w:color w:val="0F172A"/>
                <w:sz w:val="19"/>
              </w:rPr>
              <w:t>4.01%</w:t>
            </w:r>
          </w:p>
        </w:tc>
        <w:tc>
          <w:tcPr>
            <w:tcW w:type="dxa" w:w="1440"/>
            <w:shd w:fill="F8FAFC"/>
            <w:tcMar>
              <w:top w:w="80" w:type="dxa"/>
              <w:bottom w:w="80" w:type="dxa"/>
              <w:left w:w="120" w:type="dxa"/>
              <w:right w:w="120" w:type="dxa"/>
            </w:tcMar>
          </w:tcPr>
          <w:p>
            <w:pPr>
              <w:jc w:val="left"/>
            </w:pPr>
            <w:r>
              <w:rPr>
                <w:rFonts w:ascii="Calibri" w:hAnsi="Calibri"/>
                <w:color w:val="0F172A"/>
                <w:sz w:val="19"/>
              </w:rPr>
              <w:t>$65.50</w:t>
            </w:r>
          </w:p>
        </w:tc>
      </w:tr>
      <w:tr>
        <w:tc>
          <w:tcPr>
            <w:tcW w:type="dxa" w:w="2304"/>
            <w:shd w:fill="FFFFFF"/>
            <w:tcMar>
              <w:top w:w="80" w:type="dxa"/>
              <w:bottom w:w="80" w:type="dxa"/>
              <w:left w:w="120" w:type="dxa"/>
              <w:right w:w="120" w:type="dxa"/>
            </w:tcMar>
          </w:tcPr>
          <w:p>
            <w:pPr>
              <w:jc w:val="left"/>
            </w:pPr>
            <w:r>
              <w:rPr>
                <w:rFonts w:ascii="Calibri" w:hAnsi="Calibri"/>
                <w:color w:val="0F172A"/>
                <w:sz w:val="19"/>
              </w:rPr>
              <w:t>Repeat Customers (Overall)</w:t>
            </w:r>
          </w:p>
        </w:tc>
        <w:tc>
          <w:tcPr>
            <w:tcW w:type="dxa" w:w="1296"/>
            <w:shd w:fill="FFFFFF"/>
            <w:tcMar>
              <w:top w:w="80" w:type="dxa"/>
              <w:bottom w:w="80" w:type="dxa"/>
              <w:left w:w="120" w:type="dxa"/>
              <w:right w:w="120" w:type="dxa"/>
            </w:tcMar>
          </w:tcPr>
          <w:p>
            <w:pPr>
              <w:jc w:val="left"/>
            </w:pPr>
            <w:r>
              <w:rPr>
                <w:rFonts w:ascii="Calibri" w:hAnsi="Calibri"/>
                <w:color w:val="0F172A"/>
                <w:sz w:val="19"/>
              </w:rPr>
              <w:t>399</w:t>
            </w:r>
          </w:p>
        </w:tc>
        <w:tc>
          <w:tcPr>
            <w:tcW w:type="dxa" w:w="1584"/>
            <w:shd w:fill="FFFFFF"/>
            <w:tcMar>
              <w:top w:w="80" w:type="dxa"/>
              <w:bottom w:w="80" w:type="dxa"/>
              <w:left w:w="120" w:type="dxa"/>
              <w:right w:w="120" w:type="dxa"/>
            </w:tcMar>
          </w:tcPr>
          <w:p>
            <w:pPr>
              <w:jc w:val="left"/>
            </w:pPr>
            <w:r>
              <w:rPr>
                <w:rFonts w:ascii="Calibri" w:hAnsi="Calibri"/>
                <w:color w:val="0F172A"/>
                <w:sz w:val="19"/>
              </w:rPr>
              <w:t>46.94%</w:t>
            </w:r>
          </w:p>
        </w:tc>
        <w:tc>
          <w:tcPr>
            <w:tcW w:type="dxa" w:w="1728"/>
            <w:shd w:fill="FFFFFF"/>
            <w:tcMar>
              <w:top w:w="80" w:type="dxa"/>
              <w:bottom w:w="80" w:type="dxa"/>
              <w:left w:w="120" w:type="dxa"/>
              <w:right w:w="120" w:type="dxa"/>
            </w:tcMar>
          </w:tcPr>
          <w:p>
            <w:pPr>
              <w:jc w:val="left"/>
            </w:pPr>
            <w:r>
              <w:rPr>
                <w:rFonts w:ascii="Calibri" w:hAnsi="Calibri"/>
                <w:color w:val="0F172A"/>
                <w:sz w:val="19"/>
              </w:rPr>
              <w:t>$264,508.51</w:t>
            </w:r>
          </w:p>
        </w:tc>
        <w:tc>
          <w:tcPr>
            <w:tcW w:type="dxa" w:w="1440"/>
            <w:shd w:fill="FFFFFF"/>
            <w:tcMar>
              <w:top w:w="80" w:type="dxa"/>
              <w:bottom w:w="80" w:type="dxa"/>
              <w:left w:w="120" w:type="dxa"/>
              <w:right w:w="120" w:type="dxa"/>
            </w:tcMar>
          </w:tcPr>
          <w:p>
            <w:pPr>
              <w:jc w:val="left"/>
            </w:pPr>
            <w:r>
              <w:rPr>
                <w:rFonts w:ascii="Calibri" w:hAnsi="Calibri"/>
                <w:color w:val="0F172A"/>
                <w:sz w:val="19"/>
              </w:rPr>
              <w:t>80.88%</w:t>
            </w:r>
          </w:p>
        </w:tc>
        <w:tc>
          <w:tcPr>
            <w:tcW w:type="dxa" w:w="1440"/>
            <w:shd w:fill="FFFFFF"/>
            <w:tcMar>
              <w:top w:w="80" w:type="dxa"/>
              <w:bottom w:w="80" w:type="dxa"/>
              <w:left w:w="120" w:type="dxa"/>
              <w:right w:w="120" w:type="dxa"/>
            </w:tcMar>
          </w:tcPr>
          <w:p>
            <w:pPr>
              <w:jc w:val="left"/>
            </w:pPr>
            <w:r>
              <w:rPr>
                <w:rFonts w:ascii="Calibri" w:hAnsi="Calibri"/>
                <w:color w:val="0F172A"/>
                <w:sz w:val="19"/>
              </w:rPr>
              <w:t>$662.93</w:t>
            </w:r>
          </w:p>
        </w:tc>
      </w:tr>
      <w:tr>
        <w:tc>
          <w:tcPr>
            <w:tcW w:type="dxa" w:w="2304"/>
            <w:shd w:fill="F8FAFC"/>
            <w:tcMar>
              <w:top w:w="80" w:type="dxa"/>
              <w:bottom w:w="80" w:type="dxa"/>
              <w:left w:w="120" w:type="dxa"/>
              <w:right w:w="120" w:type="dxa"/>
            </w:tcMar>
          </w:tcPr>
          <w:p>
            <w:pPr>
              <w:jc w:val="left"/>
            </w:pPr>
            <w:r>
              <w:rPr>
                <w:rFonts w:ascii="Calibri" w:hAnsi="Calibri"/>
                <w:color w:val="0F172A"/>
                <w:sz w:val="19"/>
              </w:rPr>
              <w:t>One-Time Buyers (Overall)</w:t>
            </w:r>
          </w:p>
        </w:tc>
        <w:tc>
          <w:tcPr>
            <w:tcW w:type="dxa" w:w="1296"/>
            <w:shd w:fill="F8FAFC"/>
            <w:tcMar>
              <w:top w:w="80" w:type="dxa"/>
              <w:bottom w:w="80" w:type="dxa"/>
              <w:left w:w="120" w:type="dxa"/>
              <w:right w:w="120" w:type="dxa"/>
            </w:tcMar>
          </w:tcPr>
          <w:p>
            <w:pPr>
              <w:jc w:val="left"/>
            </w:pPr>
            <w:r>
              <w:rPr>
                <w:rFonts w:ascii="Calibri" w:hAnsi="Calibri"/>
                <w:color w:val="0F172A"/>
                <w:sz w:val="19"/>
              </w:rPr>
              <w:t>451</w:t>
            </w:r>
          </w:p>
        </w:tc>
        <w:tc>
          <w:tcPr>
            <w:tcW w:type="dxa" w:w="1584"/>
            <w:shd w:fill="F8FAFC"/>
            <w:tcMar>
              <w:top w:w="80" w:type="dxa"/>
              <w:bottom w:w="80" w:type="dxa"/>
              <w:left w:w="120" w:type="dxa"/>
              <w:right w:w="120" w:type="dxa"/>
            </w:tcMar>
          </w:tcPr>
          <w:p>
            <w:pPr>
              <w:jc w:val="left"/>
            </w:pPr>
            <w:r>
              <w:rPr>
                <w:rFonts w:ascii="Calibri" w:hAnsi="Calibri"/>
                <w:color w:val="0F172A"/>
                <w:sz w:val="19"/>
              </w:rPr>
              <w:t>53.06%</w:t>
            </w:r>
          </w:p>
        </w:tc>
        <w:tc>
          <w:tcPr>
            <w:tcW w:type="dxa" w:w="1728"/>
            <w:shd w:fill="F8FAFC"/>
            <w:tcMar>
              <w:top w:w="80" w:type="dxa"/>
              <w:bottom w:w="80" w:type="dxa"/>
              <w:left w:w="120" w:type="dxa"/>
              <w:right w:w="120" w:type="dxa"/>
            </w:tcMar>
          </w:tcPr>
          <w:p>
            <w:pPr>
              <w:jc w:val="left"/>
            </w:pPr>
            <w:r>
              <w:rPr>
                <w:rFonts w:ascii="Calibri" w:hAnsi="Calibri"/>
                <w:color w:val="0F172A"/>
                <w:sz w:val="19"/>
              </w:rPr>
              <w:t>$62,548.87</w:t>
            </w:r>
          </w:p>
        </w:tc>
        <w:tc>
          <w:tcPr>
            <w:tcW w:type="dxa" w:w="1440"/>
            <w:shd w:fill="F8FAFC"/>
            <w:tcMar>
              <w:top w:w="80" w:type="dxa"/>
              <w:bottom w:w="80" w:type="dxa"/>
              <w:left w:w="120" w:type="dxa"/>
              <w:right w:w="120" w:type="dxa"/>
            </w:tcMar>
          </w:tcPr>
          <w:p>
            <w:pPr>
              <w:jc w:val="left"/>
            </w:pPr>
            <w:r>
              <w:rPr>
                <w:rFonts w:ascii="Calibri" w:hAnsi="Calibri"/>
                <w:color w:val="0F172A"/>
                <w:sz w:val="19"/>
              </w:rPr>
              <w:t>19.12%</w:t>
            </w:r>
          </w:p>
        </w:tc>
        <w:tc>
          <w:tcPr>
            <w:tcW w:type="dxa" w:w="1440"/>
            <w:shd w:fill="F8FAFC"/>
            <w:tcMar>
              <w:top w:w="80" w:type="dxa"/>
              <w:bottom w:w="80" w:type="dxa"/>
              <w:left w:w="120" w:type="dxa"/>
              <w:right w:w="120" w:type="dxa"/>
            </w:tcMar>
          </w:tcPr>
          <w:p>
            <w:pPr>
              <w:jc w:val="left"/>
            </w:pPr>
            <w:r>
              <w:rPr>
                <w:rFonts w:ascii="Calibri" w:hAnsi="Calibri"/>
                <w:color w:val="0F172A"/>
                <w:sz w:val="19"/>
              </w:rPr>
              <w:t>$138.07</w:t>
            </w:r>
          </w:p>
        </w:tc>
      </w:tr>
    </w:tbl>
    <w:p>
      <w:pPr>
        <w:spacing w:before="40" w:after="120"/>
      </w:pPr>
    </w:p>
    <w:p>
      <w:pPr>
        <w:spacing w:before="160" w:after="40"/>
        <w:jc w:val="center"/>
      </w:pPr>
      <w:r>
        <w:drawing>
          <wp:inline>
            <wp:extent cx="4754880" cy="1981200"/>
            <wp:docPr id="3" name="Picture 3"/>
            <wp:cNvGraphicFramePr>
              <a:graphicFrameLocks noChangeAspect="1"/>
            </wp:cNvGraphicFramePr>
            <a:graphic>
              <a:graphicData uri="http://schemas.openxmlformats.org/drawingml/2006/picture">
                <pic:pic>
                  <pic:nvPicPr>
                    <pic:cNvPr id="0" name="p2_repeat_vs_onetime_revenue.png"/>
                    <pic:cNvPicPr/>
                  </pic:nvPicPr>
                  <pic:blipFill>
                    <a:blip r:embed="rId8"/>
                    <a:stretch>
                      <a:fillRect/>
                    </a:stretch>
                  </pic:blipFill>
                  <pic:spPr>
                    <a:xfrm>
                      <a:off x="0" y="0"/>
                      <a:ext cx="4754880" cy="1981200"/>
                    </a:xfrm>
                    <a:prstGeom prst="rect"/>
                  </pic:spPr>
                </pic:pic>
              </a:graphicData>
            </a:graphic>
          </wp:inline>
        </w:drawing>
      </w:r>
    </w:p>
    <w:p>
      <w:pPr>
        <w:spacing w:before="0" w:after="200"/>
        <w:jc w:val="center"/>
      </w:pPr>
      <w:r>
        <w:rPr>
          <w:rFonts w:ascii="Calibri" w:hAnsi="Calibri"/>
          <w:i/>
          <w:color w:val="64748B"/>
          <w:sz w:val="19"/>
        </w:rPr>
        <w:t>Figure 3: Revenue distribution asymmetry proving repeat customers generate 80.88% of total brand sales.</w:t>
      </w:r>
    </w:p>
    <w:p>
      <w:pPr>
        <w:spacing w:before="160" w:after="40"/>
        <w:jc w:val="center"/>
      </w:pPr>
      <w:r>
        <w:drawing>
          <wp:inline>
            <wp:extent cx="5303520" cy="2855742"/>
            <wp:docPr id="4" name="Picture 4"/>
            <wp:cNvGraphicFramePr>
              <a:graphicFrameLocks noChangeAspect="1"/>
            </wp:cNvGraphicFramePr>
            <a:graphic>
              <a:graphicData uri="http://schemas.openxmlformats.org/drawingml/2006/picture">
                <pic:pic>
                  <pic:nvPicPr>
                    <pic:cNvPr id="0" name="p2_cohort_retention_heatmap.png"/>
                    <pic:cNvPicPr/>
                  </pic:nvPicPr>
                  <pic:blipFill>
                    <a:blip r:embed="rId9"/>
                    <a:stretch>
                      <a:fillRect/>
                    </a:stretch>
                  </pic:blipFill>
                  <pic:spPr>
                    <a:xfrm>
                      <a:off x="0" y="0"/>
                      <a:ext cx="5303520" cy="2855742"/>
                    </a:xfrm>
                    <a:prstGeom prst="rect"/>
                  </pic:spPr>
                </pic:pic>
              </a:graphicData>
            </a:graphic>
          </wp:inline>
        </w:drawing>
      </w:r>
    </w:p>
    <w:p>
      <w:pPr>
        <w:spacing w:before="0" w:after="200"/>
        <w:jc w:val="center"/>
      </w:pPr>
      <w:r>
        <w:rPr>
          <w:rFonts w:ascii="Calibri" w:hAnsi="Calibri"/>
          <w:i/>
          <w:color w:val="64748B"/>
          <w:sz w:val="19"/>
        </w:rPr>
        <w:t>Figure 4: 24-Month Cohort Retention Heatmap displaying retention decay and stabilization baseline.</w:t>
      </w:r>
    </w:p>
    <w:p>
      <w:pPr>
        <w:spacing w:before="40" w:after="120" w:line="276" w:lineRule="auto"/>
        <w:jc w:val="both"/>
      </w:pPr>
      <w:r>
        <w:rPr>
          <w:rFonts w:ascii="Calibri" w:hAnsi="Calibri"/>
          <w:b/>
          <w:color w:val="0F172A"/>
          <w:sz w:val="22"/>
        </w:rPr>
        <w:t xml:space="preserve">Relational SQL Analytics Pipeline: </w:t>
      </w:r>
      <w:r>
        <w:rPr>
          <w:rFonts w:ascii="Calibri" w:hAnsi="Calibri"/>
          <w:color w:val="334155"/>
          <w:sz w:val="22"/>
        </w:rPr>
        <w:t>I established an SQLite relational database (customer_analytics.db) and authored 10 production SQL queries (customer_analysis.sql) leveraging Common Table Expressions (CTEs) and Window Functions. Key queries included: (Q4) Top 10 VIP Customers by spend; (Q5) Regional customer rankings using DENSE_RANK() OVER (PARTITION BY Customer_Region ORDER BY Total_Spend DESC); (Q6) Month-over-Month Revenue Growth using LAG(Monthly_Revenue, 1); (Q7) Cumulative Running Total Revenue using SUM(Monthly_Revenue) OVER (ORDER BY Year_Month); and (Q9) Spend Quintile Categorization using NTILE(5). All 10 queries were executed via Python (execute_sql_queries.py) with zero errors and exported to reports/.</w:t>
      </w:r>
    </w:p>
    <w:p>
      <w:pPr>
        <w:spacing w:before="20" w:after="60" w:line="276" w:lineRule="auto"/>
        <w:ind w:left="360" w:hanging="216"/>
        <w:jc w:val="both"/>
      </w:pPr>
      <w:r>
        <w:rPr>
          <w:rFonts w:ascii="Calibri" w:hAnsi="Calibri"/>
          <w:b/>
          <w:color w:val="008080"/>
          <w:sz w:val="19"/>
        </w:rPr>
        <w:t xml:space="preserve">▪  </w:t>
      </w:r>
      <w:r>
        <w:rPr>
          <w:rFonts w:ascii="Calibri" w:hAnsi="Calibri"/>
          <w:b/>
          <w:color w:val="0F172A"/>
          <w:sz w:val="21"/>
        </w:rPr>
        <w:t xml:space="preserve">Extreme Revenue Asymmetry: </w:t>
      </w:r>
      <w:r>
        <w:rPr>
          <w:rFonts w:ascii="Calibri" w:hAnsi="Calibri"/>
          <w:color w:val="334155"/>
          <w:sz w:val="21"/>
        </w:rPr>
        <w:t>Repeat customers generate 80.88% of total revenue despite comprising only 46.94% of the customer base. Their average LTV is 4.8x higher than one-time buyers ($662.93 vs $138.07).</w:t>
      </w:r>
    </w:p>
    <w:p>
      <w:pPr>
        <w:spacing w:before="20" w:after="60" w:line="276" w:lineRule="auto"/>
        <w:ind w:left="360" w:hanging="216"/>
        <w:jc w:val="both"/>
      </w:pPr>
      <w:r>
        <w:rPr>
          <w:rFonts w:ascii="Calibri" w:hAnsi="Calibri"/>
          <w:b/>
          <w:color w:val="008080"/>
          <w:sz w:val="19"/>
        </w:rPr>
        <w:t xml:space="preserve">▪  </w:t>
      </w:r>
      <w:r>
        <w:rPr>
          <w:rFonts w:ascii="Calibri" w:hAnsi="Calibri"/>
          <w:b/>
          <w:color w:val="0F172A"/>
          <w:sz w:val="21"/>
        </w:rPr>
        <w:t xml:space="preserve">Pareto Concentration: </w:t>
      </w:r>
      <w:r>
        <w:rPr>
          <w:rFonts w:ascii="Calibri" w:hAnsi="Calibri"/>
          <w:color w:val="334155"/>
          <w:sz w:val="21"/>
        </w:rPr>
        <w:t>The top 20% of customers generate 56.04% of total sales, with 200 Champions alone delivering nearly 50% ($162,963.95).</w:t>
      </w:r>
    </w:p>
    <w:p>
      <w:pPr>
        <w:spacing w:before="20" w:after="60" w:line="276" w:lineRule="auto"/>
        <w:ind w:left="360" w:hanging="216"/>
        <w:jc w:val="both"/>
      </w:pPr>
      <w:r>
        <w:rPr>
          <w:rFonts w:ascii="Calibri" w:hAnsi="Calibri"/>
          <w:b/>
          <w:color w:val="008080"/>
          <w:sz w:val="19"/>
        </w:rPr>
        <w:t xml:space="preserve">▪  </w:t>
      </w:r>
      <w:r>
        <w:rPr>
          <w:rFonts w:ascii="Calibri" w:hAnsi="Calibri"/>
          <w:b/>
          <w:color w:val="0F172A"/>
          <w:sz w:val="21"/>
        </w:rPr>
        <w:t xml:space="preserve">Retention Bottleneck &amp; Intervention: </w:t>
      </w:r>
      <w:r>
        <w:rPr>
          <w:rFonts w:ascii="Calibri" w:hAnsi="Calibri"/>
          <w:color w:val="334155"/>
          <w:sz w:val="21"/>
        </w:rPr>
        <w:t>Cohort retention exhibits a sharp 80% attrition between Month 0 and Month 1, followed by a stabilized 12% to 16% long-term loyalty core. An automated Day 3-10-21 onboarding sequence is required to bridge the second-purchase gap.</w:t>
      </w:r>
    </w:p>
    <w:p>
      <w:pPr>
        <w:keepNext/>
        <w:spacing w:before="240" w:after="80"/>
      </w:pPr>
      <w:r>
        <w:rPr>
          <w:rFonts w:ascii="Calibri" w:hAnsi="Calibri"/>
          <w:b/>
          <w:color w:val="008080"/>
          <w:sz w:val="24"/>
        </w:rPr>
        <w:t>3.3 Project 3 (Advanced Level): Executive Business Intelligence Dashboard Using Power BI</w:t>
      </w:r>
    </w:p>
    <w:p>
      <w:pPr>
        <w:spacing w:before="40" w:after="120" w:line="276" w:lineRule="auto"/>
        <w:jc w:val="both"/>
      </w:pPr>
      <w:r>
        <w:rPr>
          <w:rFonts w:ascii="Calibri" w:hAnsi="Calibri"/>
          <w:b/>
          <w:color w:val="0F172A"/>
          <w:sz w:val="22"/>
        </w:rPr>
        <w:t xml:space="preserve">Business Problem: </w:t>
      </w:r>
      <w:r>
        <w:rPr>
          <w:rFonts w:ascii="Calibri" w:hAnsi="Calibri"/>
          <w:color w:val="334155"/>
          <w:sz w:val="22"/>
        </w:rPr>
        <w:t>An enterprise commercial distributor operating across North America, Europe, and Asia-Pacific required a scalable Business Intelligence architecture. Executive leadership demanded real-time visibility into multi-year revenue velocity (YoY), budget target tracking, and supply chain health, specifically identifying on-time delivery bottlenecks across fulfillment shipping tiers.</w:t>
      </w:r>
    </w:p>
    <w:p>
      <w:pPr>
        <w:spacing w:before="40" w:after="120" w:line="276" w:lineRule="auto"/>
        <w:jc w:val="both"/>
      </w:pPr>
      <w:r>
        <w:rPr>
          <w:rFonts w:ascii="Calibri" w:hAnsi="Calibri"/>
          <w:b/>
          <w:color w:val="0F172A"/>
          <w:sz w:val="22"/>
        </w:rPr>
        <w:t xml:space="preserve">Star Schema Dimensional Architecture: </w:t>
      </w:r>
      <w:r>
        <w:rPr>
          <w:rFonts w:ascii="Calibri" w:hAnsi="Calibri"/>
          <w:color w:val="334155"/>
          <w:sz w:val="22"/>
        </w:rPr>
        <w:t>A multi-year global operations dataset of 4,200 clean transactions spanning FY 2022 through FY 2024 was transformed in Python (data_transformation.py). The script engineered critical logistics metrics (Transit Days, Delivery SLA status) and normalized the flat data into a certified 6-Table Star Schema: Fact_Orders (4,200 rows), Fact_Targets (1,080 rows), Dim_Date (1,096 calendar days), Dim_Products (1,241 SKUs), Dim_Customers (600 accounts), and Dim_Geography (10 trade regions). All relationships were configured with 1:Many single-direction filters to guarantee optimal DAX evaluation speed.</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560"/>
        <w:gridCol w:w="1560"/>
        <w:gridCol w:w="1560"/>
        <w:gridCol w:w="1560"/>
        <w:gridCol w:w="1560"/>
        <w:gridCol w:w="1560"/>
      </w:tblGrid>
      <w:tr>
        <w:tc>
          <w:tcPr>
            <w:tcW w:type="dxa" w:w="1728"/>
            <w:shd w:fill="1A0538"/>
            <w:tcMar>
              <w:top w:w="120" w:type="dxa"/>
              <w:bottom w:w="120" w:type="dxa"/>
              <w:left w:w="140" w:type="dxa"/>
              <w:right w:w="140" w:type="dxa"/>
            </w:tcMar>
          </w:tcPr>
          <w:p>
            <w:pPr>
              <w:jc w:val="left"/>
            </w:pPr>
            <w:r>
              <w:rPr>
                <w:rFonts w:ascii="Calibri" w:hAnsi="Calibri"/>
                <w:b/>
                <w:color w:val="FFFFFF"/>
                <w:sz w:val="20"/>
              </w:rPr>
              <w:t>Fiscal Year</w:t>
            </w:r>
          </w:p>
        </w:tc>
        <w:tc>
          <w:tcPr>
            <w:tcW w:type="dxa" w:w="2016"/>
            <w:shd w:fill="1A0538"/>
            <w:tcMar>
              <w:top w:w="120" w:type="dxa"/>
              <w:bottom w:w="120" w:type="dxa"/>
              <w:left w:w="140" w:type="dxa"/>
              <w:right w:w="140" w:type="dxa"/>
            </w:tcMar>
          </w:tcPr>
          <w:p>
            <w:pPr>
              <w:jc w:val="left"/>
            </w:pPr>
            <w:r>
              <w:rPr>
                <w:rFonts w:ascii="Calibri" w:hAnsi="Calibri"/>
                <w:b/>
                <w:color w:val="FFFFFF"/>
                <w:sz w:val="20"/>
              </w:rPr>
              <w:t>Annual Gross Sales</w:t>
            </w:r>
          </w:p>
        </w:tc>
        <w:tc>
          <w:tcPr>
            <w:tcW w:type="dxa" w:w="1728"/>
            <w:shd w:fill="1A0538"/>
            <w:tcMar>
              <w:top w:w="120" w:type="dxa"/>
              <w:bottom w:w="120" w:type="dxa"/>
              <w:left w:w="140" w:type="dxa"/>
              <w:right w:w="140" w:type="dxa"/>
            </w:tcMar>
          </w:tcPr>
          <w:p>
            <w:pPr>
              <w:jc w:val="left"/>
            </w:pPr>
            <w:r>
              <w:rPr>
                <w:rFonts w:ascii="Calibri" w:hAnsi="Calibri"/>
                <w:b/>
                <w:color w:val="FFFFFF"/>
                <w:sz w:val="20"/>
              </w:rPr>
              <w:t>YoY Sales Growth</w:t>
            </w:r>
          </w:p>
        </w:tc>
        <w:tc>
          <w:tcPr>
            <w:tcW w:type="dxa" w:w="2016"/>
            <w:shd w:fill="1A0538"/>
            <w:tcMar>
              <w:top w:w="120" w:type="dxa"/>
              <w:bottom w:w="120" w:type="dxa"/>
              <w:left w:w="140" w:type="dxa"/>
              <w:right w:w="140" w:type="dxa"/>
            </w:tcMar>
          </w:tcPr>
          <w:p>
            <w:pPr>
              <w:jc w:val="left"/>
            </w:pPr>
            <w:r>
              <w:rPr>
                <w:rFonts w:ascii="Calibri" w:hAnsi="Calibri"/>
                <w:b/>
                <w:color w:val="FFFFFF"/>
                <w:sz w:val="20"/>
              </w:rPr>
              <w:t>Net Operating Profit</w:t>
            </w:r>
          </w:p>
        </w:tc>
        <w:tc>
          <w:tcPr>
            <w:tcW w:type="dxa" w:w="1584"/>
            <w:shd w:fill="1A0538"/>
            <w:tcMar>
              <w:top w:w="120" w:type="dxa"/>
              <w:bottom w:w="120" w:type="dxa"/>
              <w:left w:w="140" w:type="dxa"/>
              <w:right w:w="140" w:type="dxa"/>
            </w:tcMar>
          </w:tcPr>
          <w:p>
            <w:pPr>
              <w:jc w:val="left"/>
            </w:pPr>
            <w:r>
              <w:rPr>
                <w:rFonts w:ascii="Calibri" w:hAnsi="Calibri"/>
                <w:b/>
                <w:color w:val="FFFFFF"/>
                <w:sz w:val="20"/>
              </w:rPr>
              <w:t>Operating Margin %</w:t>
            </w:r>
          </w:p>
        </w:tc>
        <w:tc>
          <w:tcPr>
            <w:tcW w:type="dxa" w:w="1584"/>
            <w:shd w:fill="1A0538"/>
            <w:tcMar>
              <w:top w:w="120" w:type="dxa"/>
              <w:bottom w:w="120" w:type="dxa"/>
              <w:left w:w="140" w:type="dxa"/>
              <w:right w:w="140" w:type="dxa"/>
            </w:tcMar>
          </w:tcPr>
          <w:p>
            <w:pPr>
              <w:jc w:val="left"/>
            </w:pPr>
            <w:r>
              <w:rPr>
                <w:rFonts w:ascii="Calibri" w:hAnsi="Calibri"/>
                <w:b/>
                <w:color w:val="FFFFFF"/>
                <w:sz w:val="20"/>
              </w:rPr>
              <w:t>Order Volume</w:t>
            </w:r>
          </w:p>
        </w:tc>
      </w:tr>
      <w:tr>
        <w:tc>
          <w:tcPr>
            <w:tcW w:type="dxa" w:w="1728"/>
            <w:shd w:fill="FFFFFF"/>
            <w:tcMar>
              <w:top w:w="80" w:type="dxa"/>
              <w:bottom w:w="80" w:type="dxa"/>
              <w:left w:w="120" w:type="dxa"/>
              <w:right w:w="120" w:type="dxa"/>
            </w:tcMar>
          </w:tcPr>
          <w:p>
            <w:pPr>
              <w:jc w:val="left"/>
            </w:pPr>
            <w:r>
              <w:rPr>
                <w:rFonts w:ascii="Calibri" w:hAnsi="Calibri"/>
                <w:color w:val="0F172A"/>
                <w:sz w:val="19"/>
              </w:rPr>
              <w:t>FY 2022</w:t>
            </w:r>
          </w:p>
        </w:tc>
        <w:tc>
          <w:tcPr>
            <w:tcW w:type="dxa" w:w="2016"/>
            <w:shd w:fill="FFFFFF"/>
            <w:tcMar>
              <w:top w:w="80" w:type="dxa"/>
              <w:bottom w:w="80" w:type="dxa"/>
              <w:left w:w="120" w:type="dxa"/>
              <w:right w:w="120" w:type="dxa"/>
            </w:tcMar>
          </w:tcPr>
          <w:p>
            <w:pPr>
              <w:jc w:val="left"/>
            </w:pPr>
            <w:r>
              <w:rPr>
                <w:rFonts w:ascii="Calibri" w:hAnsi="Calibri"/>
                <w:color w:val="0F172A"/>
                <w:sz w:val="19"/>
              </w:rPr>
              <w:t>$541,634.34</w:t>
            </w:r>
          </w:p>
        </w:tc>
        <w:tc>
          <w:tcPr>
            <w:tcW w:type="dxa" w:w="1728"/>
            <w:shd w:fill="FFFFFF"/>
            <w:tcMar>
              <w:top w:w="80" w:type="dxa"/>
              <w:bottom w:w="80" w:type="dxa"/>
              <w:left w:w="120" w:type="dxa"/>
              <w:right w:w="120" w:type="dxa"/>
            </w:tcMar>
          </w:tcPr>
          <w:p>
            <w:pPr>
              <w:jc w:val="left"/>
            </w:pPr>
            <w:r>
              <w:rPr>
                <w:rFonts w:ascii="Calibri" w:hAnsi="Calibri"/>
                <w:color w:val="0F172A"/>
                <w:sz w:val="19"/>
              </w:rPr>
              <w:t>Baseline Year</w:t>
            </w:r>
          </w:p>
        </w:tc>
        <w:tc>
          <w:tcPr>
            <w:tcW w:type="dxa" w:w="2016"/>
            <w:shd w:fill="FFFFFF"/>
            <w:tcMar>
              <w:top w:w="80" w:type="dxa"/>
              <w:bottom w:w="80" w:type="dxa"/>
              <w:left w:w="120" w:type="dxa"/>
              <w:right w:w="120" w:type="dxa"/>
            </w:tcMar>
          </w:tcPr>
          <w:p>
            <w:pPr>
              <w:jc w:val="left"/>
            </w:pPr>
            <w:r>
              <w:rPr>
                <w:rFonts w:ascii="Calibri" w:hAnsi="Calibri"/>
                <w:color w:val="0F172A"/>
                <w:sz w:val="19"/>
              </w:rPr>
              <w:t>$207,987.58</w:t>
            </w:r>
          </w:p>
        </w:tc>
        <w:tc>
          <w:tcPr>
            <w:tcW w:type="dxa" w:w="1584"/>
            <w:shd w:fill="FFFFFF"/>
            <w:tcMar>
              <w:top w:w="80" w:type="dxa"/>
              <w:bottom w:w="80" w:type="dxa"/>
              <w:left w:w="120" w:type="dxa"/>
              <w:right w:w="120" w:type="dxa"/>
            </w:tcMar>
          </w:tcPr>
          <w:p>
            <w:pPr>
              <w:jc w:val="left"/>
            </w:pPr>
            <w:r>
              <w:rPr>
                <w:rFonts w:ascii="Calibri" w:hAnsi="Calibri"/>
                <w:color w:val="0F172A"/>
                <w:sz w:val="19"/>
              </w:rPr>
              <w:t>38.40%</w:t>
            </w:r>
          </w:p>
        </w:tc>
        <w:tc>
          <w:tcPr>
            <w:tcW w:type="dxa" w:w="1584"/>
            <w:shd w:fill="FFFFFF"/>
            <w:tcMar>
              <w:top w:w="80" w:type="dxa"/>
              <w:bottom w:w="80" w:type="dxa"/>
              <w:left w:w="120" w:type="dxa"/>
              <w:right w:w="120" w:type="dxa"/>
            </w:tcMar>
          </w:tcPr>
          <w:p>
            <w:pPr>
              <w:jc w:val="left"/>
            </w:pPr>
            <w:r>
              <w:rPr>
                <w:rFonts w:ascii="Calibri" w:hAnsi="Calibri"/>
                <w:color w:val="0F172A"/>
                <w:sz w:val="19"/>
              </w:rPr>
              <w:t>784 Orders</w:t>
            </w:r>
          </w:p>
        </w:tc>
      </w:tr>
      <w:tr>
        <w:tc>
          <w:tcPr>
            <w:tcW w:type="dxa" w:w="1728"/>
            <w:shd w:fill="F8FAFC"/>
            <w:tcMar>
              <w:top w:w="80" w:type="dxa"/>
              <w:bottom w:w="80" w:type="dxa"/>
              <w:left w:w="120" w:type="dxa"/>
              <w:right w:w="120" w:type="dxa"/>
            </w:tcMar>
          </w:tcPr>
          <w:p>
            <w:pPr>
              <w:jc w:val="left"/>
            </w:pPr>
            <w:r>
              <w:rPr>
                <w:rFonts w:ascii="Calibri" w:hAnsi="Calibri"/>
                <w:color w:val="0F172A"/>
                <w:sz w:val="19"/>
              </w:rPr>
              <w:t>FY 2023</w:t>
            </w:r>
          </w:p>
        </w:tc>
        <w:tc>
          <w:tcPr>
            <w:tcW w:type="dxa" w:w="2016"/>
            <w:shd w:fill="F8FAFC"/>
            <w:tcMar>
              <w:top w:w="80" w:type="dxa"/>
              <w:bottom w:w="80" w:type="dxa"/>
              <w:left w:w="120" w:type="dxa"/>
              <w:right w:w="120" w:type="dxa"/>
            </w:tcMar>
          </w:tcPr>
          <w:p>
            <w:pPr>
              <w:jc w:val="left"/>
            </w:pPr>
            <w:r>
              <w:rPr>
                <w:rFonts w:ascii="Calibri" w:hAnsi="Calibri"/>
                <w:color w:val="0F172A"/>
                <w:sz w:val="19"/>
              </w:rPr>
              <w:t>$1,063,776.62</w:t>
            </w:r>
          </w:p>
        </w:tc>
        <w:tc>
          <w:tcPr>
            <w:tcW w:type="dxa" w:w="1728"/>
            <w:shd w:fill="F8FAFC"/>
            <w:tcMar>
              <w:top w:w="80" w:type="dxa"/>
              <w:bottom w:w="80" w:type="dxa"/>
              <w:left w:w="120" w:type="dxa"/>
              <w:right w:w="120" w:type="dxa"/>
            </w:tcMar>
          </w:tcPr>
          <w:p>
            <w:pPr>
              <w:jc w:val="left"/>
            </w:pPr>
            <w:r>
              <w:rPr>
                <w:rFonts w:ascii="Calibri" w:hAnsi="Calibri"/>
                <w:color w:val="0F172A"/>
                <w:sz w:val="19"/>
              </w:rPr>
              <w:t>+96.40%</w:t>
            </w:r>
          </w:p>
        </w:tc>
        <w:tc>
          <w:tcPr>
            <w:tcW w:type="dxa" w:w="2016"/>
            <w:shd w:fill="F8FAFC"/>
            <w:tcMar>
              <w:top w:w="80" w:type="dxa"/>
              <w:bottom w:w="80" w:type="dxa"/>
              <w:left w:w="120" w:type="dxa"/>
              <w:right w:w="120" w:type="dxa"/>
            </w:tcMar>
          </w:tcPr>
          <w:p>
            <w:pPr>
              <w:jc w:val="left"/>
            </w:pPr>
            <w:r>
              <w:rPr>
                <w:rFonts w:ascii="Calibri" w:hAnsi="Calibri"/>
                <w:color w:val="0F172A"/>
                <w:sz w:val="19"/>
              </w:rPr>
              <w:t>$408,490.22</w:t>
            </w:r>
          </w:p>
        </w:tc>
        <w:tc>
          <w:tcPr>
            <w:tcW w:type="dxa" w:w="1584"/>
            <w:shd w:fill="F8FAFC"/>
            <w:tcMar>
              <w:top w:w="80" w:type="dxa"/>
              <w:bottom w:w="80" w:type="dxa"/>
              <w:left w:w="120" w:type="dxa"/>
              <w:right w:w="120" w:type="dxa"/>
            </w:tcMar>
          </w:tcPr>
          <w:p>
            <w:pPr>
              <w:jc w:val="left"/>
            </w:pPr>
            <w:r>
              <w:rPr>
                <w:rFonts w:ascii="Calibri" w:hAnsi="Calibri"/>
                <w:color w:val="0F172A"/>
                <w:sz w:val="19"/>
              </w:rPr>
              <w:t>38.40%</w:t>
            </w:r>
          </w:p>
        </w:tc>
        <w:tc>
          <w:tcPr>
            <w:tcW w:type="dxa" w:w="1584"/>
            <w:shd w:fill="F8FAFC"/>
            <w:tcMar>
              <w:top w:w="80" w:type="dxa"/>
              <w:bottom w:w="80" w:type="dxa"/>
              <w:left w:w="120" w:type="dxa"/>
              <w:right w:w="120" w:type="dxa"/>
            </w:tcMar>
          </w:tcPr>
          <w:p>
            <w:pPr>
              <w:jc w:val="left"/>
            </w:pPr>
            <w:r>
              <w:rPr>
                <w:rFonts w:ascii="Calibri" w:hAnsi="Calibri"/>
                <w:color w:val="0F172A"/>
                <w:sz w:val="19"/>
              </w:rPr>
              <w:t>1,526 Orders</w:t>
            </w:r>
          </w:p>
        </w:tc>
      </w:tr>
      <w:tr>
        <w:tc>
          <w:tcPr>
            <w:tcW w:type="dxa" w:w="1728"/>
            <w:shd w:fill="FFFFFF"/>
            <w:tcMar>
              <w:top w:w="80" w:type="dxa"/>
              <w:bottom w:w="80" w:type="dxa"/>
              <w:left w:w="120" w:type="dxa"/>
              <w:right w:w="120" w:type="dxa"/>
            </w:tcMar>
          </w:tcPr>
          <w:p>
            <w:pPr>
              <w:jc w:val="left"/>
            </w:pPr>
            <w:r>
              <w:rPr>
                <w:rFonts w:ascii="Calibri" w:hAnsi="Calibri"/>
                <w:color w:val="0F172A"/>
                <w:sz w:val="19"/>
              </w:rPr>
              <w:t>FY 2024</w:t>
            </w:r>
          </w:p>
        </w:tc>
        <w:tc>
          <w:tcPr>
            <w:tcW w:type="dxa" w:w="2016"/>
            <w:shd w:fill="FFFFFF"/>
            <w:tcMar>
              <w:top w:w="80" w:type="dxa"/>
              <w:bottom w:w="80" w:type="dxa"/>
              <w:left w:w="120" w:type="dxa"/>
              <w:right w:w="120" w:type="dxa"/>
            </w:tcMar>
          </w:tcPr>
          <w:p>
            <w:pPr>
              <w:jc w:val="left"/>
            </w:pPr>
            <w:r>
              <w:rPr>
                <w:rFonts w:ascii="Calibri" w:hAnsi="Calibri"/>
                <w:color w:val="0F172A"/>
                <w:sz w:val="19"/>
              </w:rPr>
              <w:t>$1,323,930.21</w:t>
            </w:r>
          </w:p>
        </w:tc>
        <w:tc>
          <w:tcPr>
            <w:tcW w:type="dxa" w:w="1728"/>
            <w:shd w:fill="FFFFFF"/>
            <w:tcMar>
              <w:top w:w="80" w:type="dxa"/>
              <w:bottom w:w="80" w:type="dxa"/>
              <w:left w:w="120" w:type="dxa"/>
              <w:right w:w="120" w:type="dxa"/>
            </w:tcMar>
          </w:tcPr>
          <w:p>
            <w:pPr>
              <w:jc w:val="left"/>
            </w:pPr>
            <w:r>
              <w:rPr>
                <w:rFonts w:ascii="Calibri" w:hAnsi="Calibri"/>
                <w:color w:val="0F172A"/>
                <w:sz w:val="19"/>
              </w:rPr>
              <w:t>+24.46%</w:t>
            </w:r>
          </w:p>
        </w:tc>
        <w:tc>
          <w:tcPr>
            <w:tcW w:type="dxa" w:w="2016"/>
            <w:shd w:fill="FFFFFF"/>
            <w:tcMar>
              <w:top w:w="80" w:type="dxa"/>
              <w:bottom w:w="80" w:type="dxa"/>
              <w:left w:w="120" w:type="dxa"/>
              <w:right w:w="120" w:type="dxa"/>
            </w:tcMar>
          </w:tcPr>
          <w:p>
            <w:pPr>
              <w:jc w:val="left"/>
            </w:pPr>
            <w:r>
              <w:rPr>
                <w:rFonts w:ascii="Calibri" w:hAnsi="Calibri"/>
                <w:color w:val="0F172A"/>
                <w:sz w:val="19"/>
              </w:rPr>
              <w:t>$508,437.87</w:t>
            </w:r>
          </w:p>
        </w:tc>
        <w:tc>
          <w:tcPr>
            <w:tcW w:type="dxa" w:w="1584"/>
            <w:shd w:fill="FFFFFF"/>
            <w:tcMar>
              <w:top w:w="80" w:type="dxa"/>
              <w:bottom w:w="80" w:type="dxa"/>
              <w:left w:w="120" w:type="dxa"/>
              <w:right w:w="120" w:type="dxa"/>
            </w:tcMar>
          </w:tcPr>
          <w:p>
            <w:pPr>
              <w:jc w:val="left"/>
            </w:pPr>
            <w:r>
              <w:rPr>
                <w:rFonts w:ascii="Calibri" w:hAnsi="Calibri"/>
                <w:color w:val="0F172A"/>
                <w:sz w:val="19"/>
              </w:rPr>
              <w:t>38.40%</w:t>
            </w:r>
          </w:p>
        </w:tc>
        <w:tc>
          <w:tcPr>
            <w:tcW w:type="dxa" w:w="1584"/>
            <w:shd w:fill="FFFFFF"/>
            <w:tcMar>
              <w:top w:w="80" w:type="dxa"/>
              <w:bottom w:w="80" w:type="dxa"/>
              <w:left w:w="120" w:type="dxa"/>
              <w:right w:w="120" w:type="dxa"/>
            </w:tcMar>
          </w:tcPr>
          <w:p>
            <w:pPr>
              <w:jc w:val="left"/>
            </w:pPr>
            <w:r>
              <w:rPr>
                <w:rFonts w:ascii="Calibri" w:hAnsi="Calibri"/>
                <w:color w:val="0F172A"/>
                <w:sz w:val="19"/>
              </w:rPr>
              <w:t>1,890 Orders</w:t>
            </w:r>
          </w:p>
        </w:tc>
      </w:tr>
      <w:tr>
        <w:tc>
          <w:tcPr>
            <w:tcW w:type="dxa" w:w="1728"/>
            <w:shd w:fill="F8FAFC"/>
            <w:tcMar>
              <w:top w:w="80" w:type="dxa"/>
              <w:bottom w:w="80" w:type="dxa"/>
              <w:left w:w="120" w:type="dxa"/>
              <w:right w:w="120" w:type="dxa"/>
            </w:tcMar>
          </w:tcPr>
          <w:p>
            <w:pPr>
              <w:jc w:val="left"/>
            </w:pPr>
            <w:r>
              <w:rPr>
                <w:rFonts w:ascii="Calibri" w:hAnsi="Calibri"/>
                <w:color w:val="0F172A"/>
                <w:sz w:val="19"/>
              </w:rPr>
              <w:t>3-Year Total</w:t>
            </w:r>
          </w:p>
        </w:tc>
        <w:tc>
          <w:tcPr>
            <w:tcW w:type="dxa" w:w="2016"/>
            <w:shd w:fill="F8FAFC"/>
            <w:tcMar>
              <w:top w:w="80" w:type="dxa"/>
              <w:bottom w:w="80" w:type="dxa"/>
              <w:left w:w="120" w:type="dxa"/>
              <w:right w:w="120" w:type="dxa"/>
            </w:tcMar>
          </w:tcPr>
          <w:p>
            <w:pPr>
              <w:jc w:val="left"/>
            </w:pPr>
            <w:r>
              <w:rPr>
                <w:rFonts w:ascii="Calibri" w:hAnsi="Calibri"/>
                <w:color w:val="0F172A"/>
                <w:sz w:val="19"/>
              </w:rPr>
              <w:t>$2,929,341.17</w:t>
            </w:r>
          </w:p>
        </w:tc>
        <w:tc>
          <w:tcPr>
            <w:tcW w:type="dxa" w:w="1728"/>
            <w:shd w:fill="F8FAFC"/>
            <w:tcMar>
              <w:top w:w="80" w:type="dxa"/>
              <w:bottom w:w="80" w:type="dxa"/>
              <w:left w:w="120" w:type="dxa"/>
              <w:right w:w="120" w:type="dxa"/>
            </w:tcMar>
          </w:tcPr>
          <w:p>
            <w:pPr>
              <w:jc w:val="left"/>
            </w:pPr>
            <w:r>
              <w:rPr>
                <w:rFonts w:ascii="Calibri" w:hAnsi="Calibri"/>
                <w:color w:val="0F172A"/>
                <w:sz w:val="19"/>
              </w:rPr>
              <w:t>+144.43% Total</w:t>
            </w:r>
          </w:p>
        </w:tc>
        <w:tc>
          <w:tcPr>
            <w:tcW w:type="dxa" w:w="2016"/>
            <w:shd w:fill="F8FAFC"/>
            <w:tcMar>
              <w:top w:w="80" w:type="dxa"/>
              <w:bottom w:w="80" w:type="dxa"/>
              <w:left w:w="120" w:type="dxa"/>
              <w:right w:w="120" w:type="dxa"/>
            </w:tcMar>
          </w:tcPr>
          <w:p>
            <w:pPr>
              <w:jc w:val="left"/>
            </w:pPr>
            <w:r>
              <w:rPr>
                <w:rFonts w:ascii="Calibri" w:hAnsi="Calibri"/>
                <w:color w:val="0F172A"/>
                <w:sz w:val="19"/>
              </w:rPr>
              <w:t>$1,124,915.67</w:t>
            </w:r>
          </w:p>
        </w:tc>
        <w:tc>
          <w:tcPr>
            <w:tcW w:type="dxa" w:w="1584"/>
            <w:shd w:fill="F8FAFC"/>
            <w:tcMar>
              <w:top w:w="80" w:type="dxa"/>
              <w:bottom w:w="80" w:type="dxa"/>
              <w:left w:w="120" w:type="dxa"/>
              <w:right w:w="120" w:type="dxa"/>
            </w:tcMar>
          </w:tcPr>
          <w:p>
            <w:pPr>
              <w:jc w:val="left"/>
            </w:pPr>
            <w:r>
              <w:rPr>
                <w:rFonts w:ascii="Calibri" w:hAnsi="Calibri"/>
                <w:color w:val="0F172A"/>
                <w:sz w:val="19"/>
              </w:rPr>
              <w:t>38.40%</w:t>
            </w:r>
          </w:p>
        </w:tc>
        <w:tc>
          <w:tcPr>
            <w:tcW w:type="dxa" w:w="1584"/>
            <w:shd w:fill="F8FAFC"/>
            <w:tcMar>
              <w:top w:w="80" w:type="dxa"/>
              <w:bottom w:w="80" w:type="dxa"/>
              <w:left w:w="120" w:type="dxa"/>
              <w:right w:w="120" w:type="dxa"/>
            </w:tcMar>
          </w:tcPr>
          <w:p>
            <w:pPr>
              <w:jc w:val="left"/>
            </w:pPr>
            <w:r>
              <w:rPr>
                <w:rFonts w:ascii="Calibri" w:hAnsi="Calibri"/>
                <w:color w:val="0F172A"/>
                <w:sz w:val="19"/>
              </w:rPr>
              <w:t>4,200 Orders</w:t>
            </w:r>
          </w:p>
        </w:tc>
      </w:tr>
    </w:tbl>
    <w:p>
      <w:pPr>
        <w:spacing w:before="40" w:after="120"/>
      </w:pPr>
    </w:p>
    <w:p>
      <w:pPr>
        <w:spacing w:before="160" w:after="40"/>
        <w:jc w:val="center"/>
      </w:pPr>
      <w:r>
        <w:drawing>
          <wp:inline>
            <wp:extent cx="5303520" cy="2983230"/>
            <wp:docPr id="5" name="Picture 5"/>
            <wp:cNvGraphicFramePr>
              <a:graphicFrameLocks noChangeAspect="1"/>
            </wp:cNvGraphicFramePr>
            <a:graphic>
              <a:graphicData uri="http://schemas.openxmlformats.org/drawingml/2006/picture">
                <pic:pic>
                  <pic:nvPicPr>
                    <pic:cNvPr id="0" name="p3_powerbi_executive_overview.png"/>
                    <pic:cNvPicPr/>
                  </pic:nvPicPr>
                  <pic:blipFill>
                    <a:blip r:embed="rId10"/>
                    <a:stretch>
                      <a:fillRect/>
                    </a:stretch>
                  </pic:blipFill>
                  <pic:spPr>
                    <a:xfrm>
                      <a:off x="0" y="0"/>
                      <a:ext cx="5303520" cy="2983230"/>
                    </a:xfrm>
                    <a:prstGeom prst="rect"/>
                  </pic:spPr>
                </pic:pic>
              </a:graphicData>
            </a:graphic>
          </wp:inline>
        </w:drawing>
      </w:r>
    </w:p>
    <w:p>
      <w:pPr>
        <w:spacing w:before="0" w:after="200"/>
        <w:jc w:val="center"/>
      </w:pPr>
      <w:r>
        <w:rPr>
          <w:rFonts w:ascii="Calibri" w:hAnsi="Calibri"/>
          <w:i/>
          <w:color w:val="64748B"/>
          <w:sz w:val="19"/>
        </w:rPr>
        <w:t>Figure 5: Power BI Executive Overview Dashboard Render ($2.93M Sales, 38.4% Margin, YoY Growth).</w:t>
      </w:r>
    </w:p>
    <w:p>
      <w:pPr>
        <w:spacing w:before="160" w:after="40"/>
        <w:jc w:val="center"/>
      </w:pPr>
      <w:r>
        <w:drawing>
          <wp:inline>
            <wp:extent cx="4937760" cy="2116183"/>
            <wp:docPr id="6" name="Picture 6"/>
            <wp:cNvGraphicFramePr>
              <a:graphicFrameLocks noChangeAspect="1"/>
            </wp:cNvGraphicFramePr>
            <a:graphic>
              <a:graphicData uri="http://schemas.openxmlformats.org/drawingml/2006/picture">
                <pic:pic>
                  <pic:nvPicPr>
                    <pic:cNvPr id="0" name="p3_logistics_sla_compliance.png"/>
                    <pic:cNvPicPr/>
                  </pic:nvPicPr>
                  <pic:blipFill>
                    <a:blip r:embed="rId11"/>
                    <a:stretch>
                      <a:fillRect/>
                    </a:stretch>
                  </pic:blipFill>
                  <pic:spPr>
                    <a:xfrm>
                      <a:off x="0" y="0"/>
                      <a:ext cx="4937760" cy="2116183"/>
                    </a:xfrm>
                    <a:prstGeom prst="rect"/>
                  </pic:spPr>
                </pic:pic>
              </a:graphicData>
            </a:graphic>
          </wp:inline>
        </w:drawing>
      </w:r>
    </w:p>
    <w:p>
      <w:pPr>
        <w:spacing w:before="0" w:after="200"/>
        <w:jc w:val="center"/>
      </w:pPr>
      <w:r>
        <w:rPr>
          <w:rFonts w:ascii="Calibri" w:hAnsi="Calibri"/>
          <w:i/>
          <w:color w:val="64748B"/>
          <w:sz w:val="19"/>
        </w:rPr>
        <w:t>Figure 6: Logistics On-Time Delivery SLA Compliance across fulfillment shipping tiers.</w:t>
      </w:r>
    </w:p>
    <w:p>
      <w:pPr>
        <w:spacing w:before="40" w:after="120" w:line="276" w:lineRule="auto"/>
        <w:jc w:val="both"/>
      </w:pPr>
      <w:r>
        <w:rPr>
          <w:rFonts w:ascii="Calibri" w:hAnsi="Calibri"/>
          <w:b/>
          <w:color w:val="0F172A"/>
          <w:sz w:val="22"/>
        </w:rPr>
        <w:t xml:space="preserve">DAX Measures Library: </w:t>
      </w:r>
      <w:r>
        <w:rPr>
          <w:rFonts w:ascii="Calibri" w:hAnsi="Calibri"/>
          <w:color w:val="334155"/>
          <w:sz w:val="22"/>
        </w:rPr>
        <w:t>I authored a production library of 28 commented DAX measures (powerbi_measures.dax) categorized into four functional groups: (1) Core Financial Measures ([Total Sales], [Total Profit], [Profit Margin %]); (2) Time Intelligence ([Sales YTD] = TOTALYTD([Total Sales], Dim_Date[Date]), [Sales LY] = CALCULATE([Total Sales], SAMEPERIODLASTYEAR(Dim_Date[Date])), [YoY Sales Growth %]); (3) Target Tracking ([Budget Variance $] = [Total Sales] - [Sales Target], [Target Achievement %]); and (4) Logistics SLAs ([On-Time Deliveries], [SLA Compliance %] = DIVIDE([On-Time Deliveries], [Total Orders], 0), [Avg Transit Days]).</w:t>
      </w:r>
    </w:p>
    <w:p>
      <w:pPr>
        <w:spacing w:before="20" w:after="60" w:line="276" w:lineRule="auto"/>
        <w:ind w:left="360" w:hanging="216"/>
        <w:jc w:val="both"/>
      </w:pPr>
      <w:r>
        <w:rPr>
          <w:rFonts w:ascii="Calibri" w:hAnsi="Calibri"/>
          <w:b/>
          <w:color w:val="008080"/>
          <w:sz w:val="19"/>
        </w:rPr>
        <w:t xml:space="preserve">▪  </w:t>
      </w:r>
      <w:r>
        <w:rPr>
          <w:rFonts w:ascii="Calibri" w:hAnsi="Calibri"/>
          <w:b/>
          <w:color w:val="0F172A"/>
          <w:sz w:val="21"/>
        </w:rPr>
        <w:t xml:space="preserve">Consolidated Growth: </w:t>
      </w:r>
      <w:r>
        <w:rPr>
          <w:rFonts w:ascii="Calibri" w:hAnsi="Calibri"/>
          <w:color w:val="334155"/>
          <w:sz w:val="21"/>
        </w:rPr>
        <w:t>3-Year Gross Sales achieved $2,929,341.17 with $1,124,915.67 in Net Operating Profit, demonstrating robust annual expansion (+96.4% in 2023, +24.5% in 2024).</w:t>
      </w:r>
    </w:p>
    <w:p>
      <w:pPr>
        <w:spacing w:before="20" w:after="60" w:line="276" w:lineRule="auto"/>
        <w:ind w:left="360" w:hanging="216"/>
        <w:jc w:val="both"/>
      </w:pPr>
      <w:r>
        <w:rPr>
          <w:rFonts w:ascii="Calibri" w:hAnsi="Calibri"/>
          <w:b/>
          <w:color w:val="008080"/>
          <w:sz w:val="19"/>
        </w:rPr>
        <w:t xml:space="preserve">▪  </w:t>
      </w:r>
      <w:r>
        <w:rPr>
          <w:rFonts w:ascii="Calibri" w:hAnsi="Calibri"/>
          <w:b/>
          <w:color w:val="0F172A"/>
          <w:sz w:val="21"/>
        </w:rPr>
        <w:t xml:space="preserve">Severe Supply Chain Vulnerability: </w:t>
      </w:r>
      <w:r>
        <w:rPr>
          <w:rFonts w:ascii="Calibri" w:hAnsi="Calibri"/>
          <w:color w:val="334155"/>
          <w:sz w:val="21"/>
        </w:rPr>
        <w:t>Consolidated On-Time Delivery compliance sits at 68.83%, falling critically short of the 85.00% SLA target.</w:t>
      </w:r>
    </w:p>
    <w:p>
      <w:pPr>
        <w:spacing w:before="20" w:after="60" w:line="276" w:lineRule="auto"/>
        <w:ind w:left="360" w:hanging="216"/>
        <w:jc w:val="both"/>
      </w:pPr>
      <w:r>
        <w:rPr>
          <w:rFonts w:ascii="Calibri" w:hAnsi="Calibri"/>
          <w:b/>
          <w:color w:val="008080"/>
          <w:sz w:val="19"/>
        </w:rPr>
        <w:t xml:space="preserve">▪  </w:t>
      </w:r>
      <w:r>
        <w:rPr>
          <w:rFonts w:ascii="Calibri" w:hAnsi="Calibri"/>
          <w:b/>
          <w:color w:val="0F172A"/>
          <w:sz w:val="21"/>
        </w:rPr>
        <w:t xml:space="preserve">Logistical Bottleneck Isolation: </w:t>
      </w:r>
      <w:r>
        <w:rPr>
          <w:rFonts w:ascii="Calibri" w:hAnsi="Calibri"/>
          <w:color w:val="334155"/>
          <w:sz w:val="21"/>
        </w:rPr>
        <w:t>While Same Day (92.42%) and First Class (81.75%) fulfillment tiers perform well, Standard Class ground shipping achieved only 59.20% on-time compliance. 3PL carrier contracts must be renegotiated immediately.</w:t>
      </w:r>
    </w:p>
    <w:p>
      <w:pPr>
        <w:keepNext/>
        <w:spacing w:before="360" w:after="160"/>
      </w:pPr>
      <w:r>
        <w:rPr>
          <w:rFonts w:ascii="Calibri" w:hAnsi="Calibri"/>
          <w:b/>
          <w:color w:val="1A0538"/>
          <w:sz w:val="28"/>
        </w:rPr>
        <w:t>Learning Outcomes</w:t>
      </w:r>
    </w:p>
    <w:p>
      <w:pPr>
        <w:spacing w:before="40" w:after="120" w:line="276" w:lineRule="auto"/>
        <w:jc w:val="both"/>
      </w:pPr>
      <w:r>
        <w:rPr>
          <w:rFonts w:ascii="Calibri" w:hAnsi="Calibri"/>
          <w:color w:val="334155"/>
          <w:sz w:val="22"/>
        </w:rPr>
        <w:t>The ShadowFox Data Analyst Internship provided extensive hands-on exposure to the entire analytical lifecycle, from messy raw data ingestion to C-suite presentation decks. The core learning outcomes include:</w:t>
      </w:r>
    </w:p>
    <w:p>
      <w:pPr>
        <w:spacing w:before="20" w:after="60" w:line="276" w:lineRule="auto"/>
        <w:ind w:left="360" w:hanging="216"/>
        <w:jc w:val="both"/>
      </w:pPr>
      <w:r>
        <w:rPr>
          <w:rFonts w:ascii="Calibri" w:hAnsi="Calibri"/>
          <w:b/>
          <w:color w:val="008080"/>
          <w:sz w:val="19"/>
        </w:rPr>
        <w:t xml:space="preserve">▪  </w:t>
      </w:r>
      <w:r>
        <w:rPr>
          <w:rFonts w:ascii="Calibri" w:hAnsi="Calibri"/>
          <w:b/>
          <w:color w:val="0F172A"/>
          <w:sz w:val="21"/>
        </w:rPr>
        <w:t xml:space="preserve">Advanced Data Manipulation &amp; Preprocessing: </w:t>
      </w:r>
      <w:r>
        <w:rPr>
          <w:rFonts w:ascii="Calibri" w:hAnsi="Calibri"/>
          <w:color w:val="334155"/>
          <w:sz w:val="21"/>
        </w:rPr>
        <w:t>Mastered advanced data cleaning, string sanitization, datetime transformation, and feature engineering using Python (Pandas, NumPy). Gained fluency in detecting edge-case formatting flaws and implementing reproducible ETL scripts.</w:t>
      </w:r>
    </w:p>
    <w:p>
      <w:pPr>
        <w:spacing w:before="20" w:after="60" w:line="276" w:lineRule="auto"/>
        <w:ind w:left="360" w:hanging="216"/>
        <w:jc w:val="both"/>
      </w:pPr>
      <w:r>
        <w:rPr>
          <w:rFonts w:ascii="Calibri" w:hAnsi="Calibri"/>
          <w:b/>
          <w:color w:val="008080"/>
          <w:sz w:val="19"/>
        </w:rPr>
        <w:t xml:space="preserve">▪  </w:t>
      </w:r>
      <w:r>
        <w:rPr>
          <w:rFonts w:ascii="Calibri" w:hAnsi="Calibri"/>
          <w:b/>
          <w:color w:val="0F172A"/>
          <w:sz w:val="21"/>
        </w:rPr>
        <w:t xml:space="preserve">Relational Database Modeling &amp; Window Functions: </w:t>
      </w:r>
      <w:r>
        <w:rPr>
          <w:rFonts w:ascii="Calibri" w:hAnsi="Calibri"/>
          <w:color w:val="334155"/>
          <w:sz w:val="21"/>
        </w:rPr>
        <w:t>Deepened expertise in writing complex, ANSI-compliant SQL scripts in SQLite. Built fluency in Common Table Expressions (CTEs), multi-table JOINs, subqueries, and Window Functions (ROW_NUMBER, DENSE_RANK, LAG, NTILE, running aggregates).</w:t>
      </w:r>
    </w:p>
    <w:p>
      <w:pPr>
        <w:spacing w:before="20" w:after="60" w:line="276" w:lineRule="auto"/>
        <w:ind w:left="360" w:hanging="216"/>
        <w:jc w:val="both"/>
      </w:pPr>
      <w:r>
        <w:rPr>
          <w:rFonts w:ascii="Calibri" w:hAnsi="Calibri"/>
          <w:b/>
          <w:color w:val="008080"/>
          <w:sz w:val="19"/>
        </w:rPr>
        <w:t xml:space="preserve">▪  </w:t>
      </w:r>
      <w:r>
        <w:rPr>
          <w:rFonts w:ascii="Calibri" w:hAnsi="Calibri"/>
          <w:b/>
          <w:color w:val="0F172A"/>
          <w:sz w:val="21"/>
        </w:rPr>
        <w:t xml:space="preserve">Business Intelligence &amp; Star Schema Architecture: </w:t>
      </w:r>
      <w:r>
        <w:rPr>
          <w:rFonts w:ascii="Calibri" w:hAnsi="Calibri"/>
          <w:color w:val="334155"/>
          <w:sz w:val="21"/>
        </w:rPr>
        <w:t>Developed production-ready skills in dimensional modeling. Designed a certified 6-table Star Schema with 1:Many relationships and authored 28 optimized DAX measures utilizing CALCULATE, Time Intelligence, and contextual filters.</w:t>
      </w:r>
    </w:p>
    <w:p>
      <w:pPr>
        <w:spacing w:before="20" w:after="60" w:line="276" w:lineRule="auto"/>
        <w:ind w:left="360" w:hanging="216"/>
        <w:jc w:val="both"/>
      </w:pPr>
      <w:r>
        <w:rPr>
          <w:rFonts w:ascii="Calibri" w:hAnsi="Calibri"/>
          <w:b/>
          <w:color w:val="008080"/>
          <w:sz w:val="19"/>
        </w:rPr>
        <w:t xml:space="preserve">▪  </w:t>
      </w:r>
      <w:r>
        <w:rPr>
          <w:rFonts w:ascii="Calibri" w:hAnsi="Calibri"/>
          <w:b/>
          <w:color w:val="0F172A"/>
          <w:sz w:val="21"/>
        </w:rPr>
        <w:t xml:space="preserve">Spreadsheet Automation &amp; Formula Design: </w:t>
      </w:r>
      <w:r>
        <w:rPr>
          <w:rFonts w:ascii="Calibri" w:hAnsi="Calibri"/>
          <w:color w:val="334155"/>
          <w:sz w:val="21"/>
        </w:rPr>
        <w:t>Learned to architect formula-driven, auditable Excel workbooks with dynamic functions (SUMIFS, AVERAGE, COUNTIFS) and professional KPI summary tiles using openpyxl automation.</w:t>
      </w:r>
    </w:p>
    <w:p>
      <w:pPr>
        <w:spacing w:before="20" w:after="60" w:line="276" w:lineRule="auto"/>
        <w:ind w:left="360" w:hanging="216"/>
        <w:jc w:val="both"/>
      </w:pPr>
      <w:r>
        <w:rPr>
          <w:rFonts w:ascii="Calibri" w:hAnsi="Calibri"/>
          <w:b/>
          <w:color w:val="008080"/>
          <w:sz w:val="19"/>
        </w:rPr>
        <w:t xml:space="preserve">▪  </w:t>
      </w:r>
      <w:r>
        <w:rPr>
          <w:rFonts w:ascii="Calibri" w:hAnsi="Calibri"/>
          <w:b/>
          <w:color w:val="0F172A"/>
          <w:sz w:val="21"/>
        </w:rPr>
        <w:t xml:space="preserve">Customer Analytics &amp; Cohort Retention: </w:t>
      </w:r>
      <w:r>
        <w:rPr>
          <w:rFonts w:ascii="Calibri" w:hAnsi="Calibri"/>
          <w:color w:val="334155"/>
          <w:sz w:val="21"/>
        </w:rPr>
        <w:t>Acquired specialized knowledge in behavioral customer analytics, including quintile RFM segmentation, monthly cohort retention tracking, and Pareto 80/20 spend dynamics.</w:t>
      </w:r>
    </w:p>
    <w:p>
      <w:pPr>
        <w:spacing w:before="20" w:after="60" w:line="276" w:lineRule="auto"/>
        <w:ind w:left="360" w:hanging="216"/>
        <w:jc w:val="both"/>
      </w:pPr>
      <w:r>
        <w:rPr>
          <w:rFonts w:ascii="Calibri" w:hAnsi="Calibri"/>
          <w:b/>
          <w:color w:val="008080"/>
          <w:sz w:val="19"/>
        </w:rPr>
        <w:t xml:space="preserve">▪  </w:t>
      </w:r>
      <w:r>
        <w:rPr>
          <w:rFonts w:ascii="Calibri" w:hAnsi="Calibri"/>
          <w:b/>
          <w:color w:val="0F172A"/>
          <w:sz w:val="21"/>
        </w:rPr>
        <w:t xml:space="preserve">Executive Data Storytelling &amp; Presentation: </w:t>
      </w:r>
      <w:r>
        <w:rPr>
          <w:rFonts w:ascii="Calibri" w:hAnsi="Calibri"/>
          <w:color w:val="334155"/>
          <w:sz w:val="21"/>
        </w:rPr>
        <w:t>Enhanced executive communication skills by synthesizing empirical data into clear business narratives, designing visual wireframes, and formulating data-backed operational recommendations.</w:t>
      </w:r>
    </w:p>
    <w:p>
      <w:pPr>
        <w:keepNext/>
        <w:spacing w:before="360" w:after="160"/>
      </w:pPr>
      <w:r>
        <w:rPr>
          <w:rFonts w:ascii="Calibri" w:hAnsi="Calibri"/>
          <w:b/>
          <w:color w:val="1A0538"/>
          <w:sz w:val="28"/>
        </w:rPr>
        <w:t>Challenges and Solutions</w:t>
      </w:r>
    </w:p>
    <w:p>
      <w:pPr>
        <w:spacing w:before="40" w:after="120" w:line="276" w:lineRule="auto"/>
        <w:jc w:val="both"/>
      </w:pPr>
      <w:r>
        <w:rPr>
          <w:rFonts w:ascii="Calibri" w:hAnsi="Calibri"/>
          <w:color w:val="334155"/>
          <w:sz w:val="22"/>
        </w:rPr>
        <w:t>During the execution of the three projects, several technical and methodological hurdles arose. Below are the key challenges encountered and the engineering solutions implemented to overcome them:</w:t>
      </w:r>
    </w:p>
    <w:p>
      <w:pPr>
        <w:spacing w:before="20" w:after="60" w:line="276" w:lineRule="auto"/>
        <w:ind w:left="360" w:hanging="216"/>
        <w:jc w:val="both"/>
      </w:pPr>
      <w:r>
        <w:rPr>
          <w:rFonts w:ascii="Calibri" w:hAnsi="Calibri"/>
          <w:b/>
          <w:color w:val="008080"/>
          <w:sz w:val="19"/>
        </w:rPr>
        <w:t xml:space="preserve">▪  </w:t>
      </w:r>
      <w:r>
        <w:rPr>
          <w:rFonts w:ascii="Calibri" w:hAnsi="Calibri"/>
          <w:b/>
          <w:color w:val="0F172A"/>
          <w:sz w:val="21"/>
        </w:rPr>
        <w:t xml:space="preserve">Challenge 1: Heterogeneous Date Formats and Dirty Raw Data —  </w:t>
      </w:r>
      <w:r>
        <w:rPr>
          <w:rFonts w:ascii="Calibri" w:hAnsi="Calibri"/>
          <w:color w:val="334155"/>
          <w:sz w:val="21"/>
        </w:rPr>
        <w:t>The raw sales datasets contained heterogeneous timestamp representations ('YYYY-MM-DD', 'MM/DD/YYYY', 'DD-MM-YYYY') and missing categorical values. Solution: Programmed custom parsing logic using pandas.to_datetime with format fallback heuristics, standardized dates to ISO-8601, and applied categorical imputation ('Not Specified') to prevent dropping revenue records.</w:t>
      </w:r>
    </w:p>
    <w:p>
      <w:pPr>
        <w:spacing w:before="20" w:after="60" w:line="276" w:lineRule="auto"/>
        <w:ind w:left="360" w:hanging="216"/>
        <w:jc w:val="both"/>
      </w:pPr>
      <w:r>
        <w:rPr>
          <w:rFonts w:ascii="Calibri" w:hAnsi="Calibri"/>
          <w:b/>
          <w:color w:val="008080"/>
          <w:sz w:val="19"/>
        </w:rPr>
        <w:t xml:space="preserve">▪  </w:t>
      </w:r>
      <w:r>
        <w:rPr>
          <w:rFonts w:ascii="Calibri" w:hAnsi="Calibri"/>
          <w:b/>
          <w:color w:val="0F172A"/>
          <w:sz w:val="21"/>
        </w:rPr>
        <w:t xml:space="preserve">Challenge 2: Multi-Year Cohort Retention Matrix Computation —  </w:t>
      </w:r>
      <w:r>
        <w:rPr>
          <w:rFonts w:ascii="Calibri" w:hAnsi="Calibri"/>
          <w:color w:val="334155"/>
          <w:sz w:val="21"/>
        </w:rPr>
        <w:t>Calculating retention percentages across 24 monthly customer cohorts required dynamic tracking of each customer's initial acquisition month versus subsequent transaction periods. Solution: Engineered vectorised Cohort_Month and Cohort_Index calculations in Python, transformed the output into a 24x24 matrix, and visualized retention rates using a custom Seaborn heatmap.</w:t>
      </w:r>
    </w:p>
    <w:p>
      <w:pPr>
        <w:spacing w:before="20" w:after="60" w:line="276" w:lineRule="auto"/>
        <w:ind w:left="360" w:hanging="216"/>
        <w:jc w:val="both"/>
      </w:pPr>
      <w:r>
        <w:rPr>
          <w:rFonts w:ascii="Calibri" w:hAnsi="Calibri"/>
          <w:b/>
          <w:color w:val="008080"/>
          <w:sz w:val="19"/>
        </w:rPr>
        <w:t xml:space="preserve">▪  </w:t>
      </w:r>
      <w:r>
        <w:rPr>
          <w:rFonts w:ascii="Calibri" w:hAnsi="Calibri"/>
          <w:b/>
          <w:color w:val="0F172A"/>
          <w:sz w:val="21"/>
        </w:rPr>
        <w:t xml:space="preserve">Challenge 3: Complex Window Aggregations in Relational SQL —  </w:t>
      </w:r>
      <w:r>
        <w:rPr>
          <w:rFonts w:ascii="Calibri" w:hAnsi="Calibri"/>
          <w:color w:val="334155"/>
          <w:sz w:val="21"/>
        </w:rPr>
        <w:t>Standard aggregate functions cannot compute month-over-month growth or customer regional rankings within single queries. Solution: Leveraged modern SQLite 3.25+ Window Functions (DENSE_RANK() OVER (PARTITION BY Region), LAG() OVER (ORDER BY Month), NTILE(5)), structuring modular logic using Common Table Expressions (CTEs).</w:t>
      </w:r>
    </w:p>
    <w:p>
      <w:pPr>
        <w:spacing w:before="20" w:after="60" w:line="276" w:lineRule="auto"/>
        <w:ind w:left="360" w:hanging="216"/>
        <w:jc w:val="both"/>
      </w:pPr>
      <w:r>
        <w:rPr>
          <w:rFonts w:ascii="Calibri" w:hAnsi="Calibri"/>
          <w:b/>
          <w:color w:val="008080"/>
          <w:sz w:val="19"/>
        </w:rPr>
        <w:t xml:space="preserve">▪  </w:t>
      </w:r>
      <w:r>
        <w:rPr>
          <w:rFonts w:ascii="Calibri" w:hAnsi="Calibri"/>
          <w:b/>
          <w:color w:val="0F172A"/>
          <w:sz w:val="21"/>
        </w:rPr>
        <w:t xml:space="preserve">Challenge 4: Power BI Relationship Modeling &amp; DAX Performance —  </w:t>
      </w:r>
      <w:r>
        <w:rPr>
          <w:rFonts w:ascii="Calibri" w:hAnsi="Calibri"/>
          <w:color w:val="334155"/>
          <w:sz w:val="21"/>
        </w:rPr>
        <w:t>Connecting disparate transaction records, budget targets, and multiple dimensional entities directly caused potential Cartesian joins and circular filter paths. Solution: Structured a certified Star Schema with distinct Fact (Fact_Orders, Fact_Targets) and Dimension (Dim_Date, Dim_Products, Dim_Customers, Dim_Geography) tables, enforcing 1:Many single-direction cross-filtering.</w:t>
      </w:r>
    </w:p>
    <w:p>
      <w:pPr>
        <w:keepNext/>
        <w:spacing w:before="360" w:after="160"/>
      </w:pPr>
      <w:r>
        <w:rPr>
          <w:rFonts w:ascii="Calibri" w:hAnsi="Calibri"/>
          <w:b/>
          <w:color w:val="1A0538"/>
          <w:sz w:val="28"/>
        </w:rPr>
        <w:t>Conclusion</w:t>
      </w:r>
    </w:p>
    <w:p>
      <w:pPr>
        <w:spacing w:before="40" w:after="120" w:line="276" w:lineRule="auto"/>
        <w:jc w:val="both"/>
      </w:pPr>
      <w:r>
        <w:rPr>
          <w:rFonts w:ascii="Calibri" w:hAnsi="Calibri"/>
          <w:color w:val="334155"/>
          <w:sz w:val="22"/>
        </w:rPr>
        <w:t>The ShadowFox Data Analyst Internship has provided an invaluable, rigorous practical experience across the full spectrum of data analysis, database engineering, and business intelligence. By completing the three capstone projects, I developed a profound understanding of how raw, imperfect operational records can be systematically audited, modeled, and transformed into high-impact strategic intelligence.</w:t>
      </w:r>
    </w:p>
    <w:p>
      <w:pPr>
        <w:spacing w:before="40" w:after="120" w:line="276" w:lineRule="auto"/>
        <w:jc w:val="both"/>
      </w:pPr>
      <w:r>
        <w:rPr>
          <w:rFonts w:ascii="Calibri" w:hAnsi="Calibri"/>
          <w:color w:val="334155"/>
          <w:sz w:val="22"/>
        </w:rPr>
        <w:t>Across the portfolio, the analysis delivered verifiable, real-world value: (1) identified a 48.48% retail margin and seasonal Q4 surge in small business sales; (2) demonstrated that repeat buyers generate 80.88% of brand revenue with 4.8x higher LTV, formulating an onboarding retention framework; and (3) uncovered an enterprise logistics delivery bottleneck where Standard Class shipping (59.20% on-time) compromises overall company SLA compliance (68.83%).</w:t>
      </w:r>
    </w:p>
    <w:p>
      <w:pPr>
        <w:spacing w:before="40" w:after="120" w:line="276" w:lineRule="auto"/>
        <w:jc w:val="both"/>
      </w:pPr>
      <w:r>
        <w:rPr>
          <w:rFonts w:ascii="Calibri" w:hAnsi="Calibri"/>
          <w:color w:val="334155"/>
          <w:sz w:val="22"/>
        </w:rPr>
        <w:t>Through the utilization of Python, Pandas, SQLite, Relational SQL, Microsoft Excel, and Power BI, I have established a verified, production-grade technical toolkit that positions me to drive immediate quantitative value in professional data analyst and business intelligence roles.</w:t>
      </w:r>
    </w:p>
    <w:p>
      <w:pPr>
        <w:keepNext/>
        <w:spacing w:before="360" w:after="160"/>
      </w:pPr>
      <w:r>
        <w:rPr>
          <w:rFonts w:ascii="Calibri" w:hAnsi="Calibri"/>
          <w:b/>
          <w:color w:val="1A0538"/>
          <w:sz w:val="28"/>
        </w:rPr>
        <w:t>Acknowledgments</w:t>
      </w:r>
    </w:p>
    <w:p>
      <w:pPr>
        <w:spacing w:before="40" w:after="120" w:line="276" w:lineRule="auto"/>
        <w:jc w:val="both"/>
      </w:pPr>
      <w:r>
        <w:rPr>
          <w:rFonts w:ascii="Calibri" w:hAnsi="Calibri"/>
          <w:color w:val="334155"/>
          <w:sz w:val="22"/>
        </w:rPr>
        <w:t>I would like to express my sincere gratitude to ShadowFox for providing this comprehensive, challenging internship opportunity and establishing an environment that encourages independent problem solving and hands-on technical excellence.</w:t>
      </w:r>
    </w:p>
    <w:p>
      <w:pPr>
        <w:spacing w:before="40" w:after="120" w:line="276" w:lineRule="auto"/>
        <w:jc w:val="both"/>
      </w:pPr>
      <w:r>
        <w:rPr>
          <w:rFonts w:ascii="Calibri" w:hAnsi="Calibri"/>
          <w:color w:val="334155"/>
          <w:sz w:val="22"/>
        </w:rPr>
        <w:t>I extend my heartfelt thanks to my coordinator and mentor, Mr. Aakash, for guidance, curriculum design, and evaluation throughout this internship journey. His structured review checkpoints and technical benchmarks ensured the highest standards of data rigor.</w:t>
      </w:r>
    </w:p>
    <w:p>
      <w:pPr>
        <w:spacing w:before="40" w:after="120" w:line="276" w:lineRule="auto"/>
        <w:jc w:val="both"/>
      </w:pPr>
      <w:r>
        <w:rPr>
          <w:rFonts w:ascii="Calibri" w:hAnsi="Calibri"/>
          <w:color w:val="334155"/>
          <w:sz w:val="22"/>
        </w:rPr>
        <w:t>I formally declare that all three internship projects, analytical scripts, SQL queries, Excel dashboards, and Power BI models were completed independently by me. Additionally, I utilized official Python, SQLite, and Microsoft technical documentation for research, and modern developer tooling for design validation and code auditing.</w:t>
      </w:r>
    </w:p>
    <w:p>
      <w:pPr>
        <w:keepNext/>
        <w:spacing w:before="360" w:after="160"/>
      </w:pPr>
      <w:r>
        <w:rPr>
          <w:rFonts w:ascii="Calibri" w:hAnsi="Calibri"/>
          <w:b/>
          <w:color w:val="1A0538"/>
          <w:sz w:val="28"/>
        </w:rPr>
        <w:t>References and Dataset Sources</w:t>
      </w:r>
    </w:p>
    <w:p>
      <w:pPr>
        <w:spacing w:before="20" w:after="60" w:line="276" w:lineRule="auto"/>
        <w:ind w:left="360" w:hanging="216"/>
        <w:jc w:val="both"/>
      </w:pPr>
      <w:r>
        <w:rPr>
          <w:rFonts w:ascii="Calibri" w:hAnsi="Calibri"/>
          <w:b/>
          <w:color w:val="008080"/>
          <w:sz w:val="19"/>
        </w:rPr>
        <w:t xml:space="preserve">▪  </w:t>
      </w:r>
      <w:r>
        <w:rPr>
          <w:rFonts w:ascii="Calibri" w:hAnsi="Calibri"/>
          <w:b/>
          <w:color w:val="0F172A"/>
          <w:sz w:val="21"/>
        </w:rPr>
        <w:t xml:space="preserve">Python Data Science Stack:  </w:t>
      </w:r>
      <w:r>
        <w:rPr>
          <w:rFonts w:ascii="Calibri" w:hAnsi="Calibri"/>
          <w:color w:val="334155"/>
          <w:sz w:val="21"/>
        </w:rPr>
        <w:t>Pandas Development Team. (2024). pandas: powerful Python data analysis toolkit. https://pandas.pydata.org/</w:t>
      </w:r>
    </w:p>
    <w:p>
      <w:pPr>
        <w:spacing w:before="20" w:after="60" w:line="276" w:lineRule="auto"/>
        <w:ind w:left="360" w:hanging="216"/>
        <w:jc w:val="both"/>
      </w:pPr>
      <w:r>
        <w:rPr>
          <w:rFonts w:ascii="Calibri" w:hAnsi="Calibri"/>
          <w:b/>
          <w:color w:val="008080"/>
          <w:sz w:val="19"/>
        </w:rPr>
        <w:t xml:space="preserve">▪  </w:t>
      </w:r>
      <w:r>
        <w:rPr>
          <w:rFonts w:ascii="Calibri" w:hAnsi="Calibri"/>
          <w:b/>
          <w:color w:val="0F172A"/>
          <w:sz w:val="21"/>
        </w:rPr>
        <w:t xml:space="preserve">Relational Database Documentation:  </w:t>
      </w:r>
      <w:r>
        <w:rPr>
          <w:rFonts w:ascii="Calibri" w:hAnsi="Calibri"/>
          <w:color w:val="334155"/>
          <w:sz w:val="21"/>
        </w:rPr>
        <w:t>SQLite Consortium. (2024). SQLite 3 Reference Documentation: Window Functions &amp; CTEs. https://www.sqlite.org/</w:t>
      </w:r>
    </w:p>
    <w:p>
      <w:pPr>
        <w:spacing w:before="20" w:after="60" w:line="276" w:lineRule="auto"/>
        <w:ind w:left="360" w:hanging="216"/>
        <w:jc w:val="both"/>
      </w:pPr>
      <w:r>
        <w:rPr>
          <w:rFonts w:ascii="Calibri" w:hAnsi="Calibri"/>
          <w:b/>
          <w:color w:val="008080"/>
          <w:sz w:val="19"/>
        </w:rPr>
        <w:t xml:space="preserve">▪  </w:t>
      </w:r>
      <w:r>
        <w:rPr>
          <w:rFonts w:ascii="Calibri" w:hAnsi="Calibri"/>
          <w:b/>
          <w:color w:val="0F172A"/>
          <w:sz w:val="21"/>
        </w:rPr>
        <w:t xml:space="preserve">Microsoft Business Intelligence:  </w:t>
      </w:r>
      <w:r>
        <w:rPr>
          <w:rFonts w:ascii="Calibri" w:hAnsi="Calibri"/>
          <w:color w:val="334155"/>
          <w:sz w:val="21"/>
        </w:rPr>
        <w:t>Microsoft Corporation. (2024). Power BI Guidance Documentation: Star Schema Dimensional Modeling &amp; DAX Patterns. https://learn.microsoft.com/power-bi/</w:t>
      </w:r>
    </w:p>
    <w:p>
      <w:pPr>
        <w:spacing w:before="20" w:after="60" w:line="276" w:lineRule="auto"/>
        <w:ind w:left="360" w:hanging="216"/>
        <w:jc w:val="both"/>
      </w:pPr>
      <w:r>
        <w:rPr>
          <w:rFonts w:ascii="Calibri" w:hAnsi="Calibri"/>
          <w:b/>
          <w:color w:val="008080"/>
          <w:sz w:val="19"/>
        </w:rPr>
        <w:t xml:space="preserve">▪  </w:t>
      </w:r>
      <w:r>
        <w:rPr>
          <w:rFonts w:ascii="Calibri" w:hAnsi="Calibri"/>
          <w:b/>
          <w:color w:val="0F172A"/>
          <w:sz w:val="21"/>
        </w:rPr>
        <w:t xml:space="preserve">Project Portfolio Repository:  </w:t>
      </w:r>
      <w:r>
        <w:rPr>
          <w:rFonts w:ascii="Calibri" w:hAnsi="Calibri"/>
          <w:color w:val="334155"/>
          <w:sz w:val="21"/>
        </w:rPr>
        <w:t>ShadowFox Data Analyst Internship Capstone Repository. https://github.com/Keerthanagowda42/ShadowFox_Data_Analyst_Internship</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