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3E50" w14:textId="77777777" w:rsidR="00EF1732" w:rsidRPr="000F1218" w:rsidRDefault="00000000">
      <w:pPr>
        <w:pStyle w:val="Heading1"/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Loan Application Pre-Screener</w:t>
      </w:r>
    </w:p>
    <w:p w14:paraId="09F07E19" w14:textId="77777777" w:rsidR="00EF1732" w:rsidRPr="000F1218" w:rsidRDefault="00000000">
      <w:pPr>
        <w:pStyle w:val="Heading2"/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Problem Statement</w:t>
      </w:r>
    </w:p>
    <w:p w14:paraId="6A22424C" w14:textId="77777777" w:rsidR="00EF1732" w:rsidRPr="000F1218" w:rsidRDefault="00000000">
      <w:p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The bank's lending unit reviews a large volume of loan applications manually, which increases analyst workload, delays decisions and leads to inconsistent assessments. We built a machine-learning pre-screener that predicts the likelihood of decline and routes each application to fast-track approval, human review or automated decline. The target is an incorrect-decision rate of 5% or less in each automated lane, with human oversight and fairness monitoring.</w:t>
      </w:r>
    </w:p>
    <w:p w14:paraId="3F5646CF" w14:textId="77777777" w:rsidR="00EF1732" w:rsidRPr="000F1218" w:rsidRDefault="00000000">
      <w:pPr>
        <w:pStyle w:val="Heading2"/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Findings</w:t>
      </w:r>
    </w:p>
    <w:p w14:paraId="6BE74DEF" w14:textId="77777777" w:rsidR="00EF1732" w:rsidRPr="000F121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The data has 12,000 applications (52.94% approved, 47.06% declined). 1,039 have no credit score, all with zero credit history, and 17 have unusually high incomes.</w:t>
      </w:r>
    </w:p>
    <w:p w14:paraId="23A5C8C1" w14:textId="77777777" w:rsidR="00EF1732" w:rsidRPr="000F121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Past decisions follow credit risk: approval is only 2% below a 600 score and drops from 65% to 16% as FOIR rises.</w:t>
      </w:r>
    </w:p>
    <w:p w14:paraId="2A136291" w14:textId="77777777" w:rsidR="00EF1732" w:rsidRPr="000F121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 xml:space="preserve">A missing credit score is not </w:t>
      </w:r>
      <w:proofErr w:type="spellStart"/>
      <w:r w:rsidRPr="000F1218">
        <w:rPr>
          <w:rFonts w:ascii="Times New Roman" w:hAnsi="Times New Roman" w:cs="Times New Roman"/>
        </w:rPr>
        <w:t>penalised</w:t>
      </w:r>
      <w:proofErr w:type="spellEnd"/>
      <w:r w:rsidRPr="000F1218">
        <w:rPr>
          <w:rFonts w:ascii="Times New Roman" w:hAnsi="Times New Roman" w:cs="Times New Roman"/>
        </w:rPr>
        <w:t xml:space="preserve"> (53.9% approved), so new-to-credit applicants should not be treated as high risk.</w:t>
      </w:r>
    </w:p>
    <w:p w14:paraId="44B90EF8" w14:textId="77777777" w:rsidR="00EF1732" w:rsidRPr="000F121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Gradient Boosting beat Logistic Regression (accuracy 80.3% vs 79.1%, ROC-AUC 0.885).</w:t>
      </w:r>
    </w:p>
    <w:p w14:paraId="0A802613" w14:textId="77777777" w:rsidR="00EF1732" w:rsidRPr="000F121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With thresholds 0.17 and 0.89, 43.6% of test applications skip manual review, with errors under 5% in both lanes.</w:t>
      </w:r>
    </w:p>
    <w:p w14:paraId="7141628B" w14:textId="77777777" w:rsidR="00EF1732" w:rsidRPr="000F121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Men are approved more often than women (54.1% vs 50.4%), but model auto-decline rates are similar (15.0% vs 15.6%).</w:t>
      </w:r>
    </w:p>
    <w:p w14:paraId="746E5ED0" w14:textId="77777777" w:rsidR="00EF1732" w:rsidRPr="000F121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 xml:space="preserve">The model is weakest </w:t>
      </w:r>
      <w:proofErr w:type="gramStart"/>
      <w:r w:rsidRPr="000F1218">
        <w:rPr>
          <w:rFonts w:ascii="Times New Roman" w:hAnsi="Times New Roman" w:cs="Times New Roman"/>
        </w:rPr>
        <w:t>on</w:t>
      </w:r>
      <w:proofErr w:type="gramEnd"/>
      <w:r w:rsidRPr="000F1218">
        <w:rPr>
          <w:rFonts w:ascii="Times New Roman" w:hAnsi="Times New Roman" w:cs="Times New Roman"/>
        </w:rPr>
        <w:t xml:space="preserve"> one applicant segment (24.7% error).</w:t>
      </w:r>
    </w:p>
    <w:p w14:paraId="49383631" w14:textId="77777777" w:rsidR="00EF1732" w:rsidRPr="000F1218" w:rsidRDefault="00000000">
      <w:pPr>
        <w:pStyle w:val="Heading2"/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Recommendation</w:t>
      </w:r>
    </w:p>
    <w:p w14:paraId="0C83CD8C" w14:textId="77777777" w:rsidR="00EF1732" w:rsidRPr="000F121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  <w:b/>
        </w:rPr>
        <w:t>Model:</w:t>
      </w:r>
      <w:r w:rsidRPr="000F1218">
        <w:rPr>
          <w:rFonts w:ascii="Times New Roman" w:hAnsi="Times New Roman" w:cs="Times New Roman"/>
        </w:rPr>
        <w:t xml:space="preserve"> Adopt Gradient Boosting with thresholds of 0.17 (auto-decline) and 0.89 (fast-track).</w:t>
      </w:r>
    </w:p>
    <w:p w14:paraId="37711BDF" w14:textId="77777777" w:rsidR="00EF1732" w:rsidRPr="000F121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  <w:b/>
        </w:rPr>
        <w:t>Lane split:</w:t>
      </w:r>
      <w:r w:rsidRPr="000F1218">
        <w:rPr>
          <w:rFonts w:ascii="Times New Roman" w:hAnsi="Times New Roman" w:cs="Times New Roman"/>
        </w:rPr>
        <w:t xml:space="preserve"> 24.5% auto-decline, 56.4% analyst review, 19.1% fast-track.</w:t>
      </w:r>
    </w:p>
    <w:p w14:paraId="094713B4" w14:textId="77777777" w:rsidR="00EF1732" w:rsidRPr="000F121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  <w:b/>
        </w:rPr>
        <w:t>Impact:</w:t>
      </w:r>
      <w:r w:rsidRPr="000F1218">
        <w:rPr>
          <w:rFonts w:ascii="Times New Roman" w:hAnsi="Times New Roman" w:cs="Times New Roman"/>
        </w:rPr>
        <w:t xml:space="preserve"> At 3,000 applications a month and 25 minutes per review, about 1,308 applications are automated and about 545 analyst hours saved monthly.</w:t>
      </w:r>
    </w:p>
    <w:p w14:paraId="06CBA421" w14:textId="77777777" w:rsidR="00EF1732" w:rsidRPr="000F121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  <w:b/>
        </w:rPr>
        <w:t>Versus Logistic Regression:</w:t>
      </w:r>
      <w:r w:rsidRPr="000F1218">
        <w:rPr>
          <w:rFonts w:ascii="Times New Roman" w:hAnsi="Times New Roman" w:cs="Times New Roman"/>
        </w:rPr>
        <w:t xml:space="preserve"> 145.4 more hours saved (399.6 for Logistic Regression).</w:t>
      </w:r>
    </w:p>
    <w:p w14:paraId="4D644142" w14:textId="77777777" w:rsidR="00EF1732" w:rsidRPr="000F121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  <w:b/>
        </w:rPr>
        <w:t>Pilot first:</w:t>
      </w:r>
      <w:r w:rsidRPr="000F1218">
        <w:rPr>
          <w:rFonts w:ascii="Times New Roman" w:hAnsi="Times New Roman" w:cs="Times New Roman"/>
        </w:rPr>
        <w:t xml:space="preserve"> Run a shadow pilot on new applications before enabling automated decisions.</w:t>
      </w:r>
    </w:p>
    <w:p w14:paraId="1A284E74" w14:textId="77777777" w:rsidR="00EF1732" w:rsidRPr="000F121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  <w:b/>
        </w:rPr>
        <w:t>Human oversight:</w:t>
      </w:r>
      <w:r w:rsidRPr="000F1218">
        <w:rPr>
          <w:rFonts w:ascii="Times New Roman" w:hAnsi="Times New Roman" w:cs="Times New Roman"/>
        </w:rPr>
        <w:t xml:space="preserve"> Send borderline, suspected-fraud, inconsistent-data and hardship cases, plus Segment 2, to analysts.</w:t>
      </w:r>
    </w:p>
    <w:p w14:paraId="17568AF0" w14:textId="77777777" w:rsidR="00EF1732" w:rsidRPr="000F121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  <w:b/>
        </w:rPr>
        <w:t>Fairness monitoring:</w:t>
      </w:r>
      <w:r w:rsidRPr="000F1218">
        <w:rPr>
          <w:rFonts w:ascii="Times New Roman" w:hAnsi="Times New Roman" w:cs="Times New Roman"/>
        </w:rPr>
        <w:t xml:space="preserve"> Track approval, error and referral rates by gender, income and employment type.</w:t>
      </w:r>
    </w:p>
    <w:p w14:paraId="6E1CE802" w14:textId="77777777" w:rsidR="00EF1732" w:rsidRPr="000F1218" w:rsidRDefault="00000000">
      <w:pPr>
        <w:pStyle w:val="Heading2"/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Limitations</w:t>
      </w:r>
    </w:p>
    <w:p w14:paraId="65FD9839" w14:textId="77777777" w:rsidR="00EF1732" w:rsidRPr="000F121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Thresholds were tuned on the test set, so the 5% results may be optimistic. They need a validation set and an untouched sample.</w:t>
      </w:r>
    </w:p>
    <w:p w14:paraId="4CC5BA84" w14:textId="77777777" w:rsidR="00EF1732" w:rsidRPr="000F121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Labels are past decisions, not repayment outcomes, and may carry historical bias.</w:t>
      </w:r>
    </w:p>
    <w:p w14:paraId="589144CD" w14:textId="77777777" w:rsidR="00EF1732" w:rsidRPr="000F121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Excluding gender does not remove proxies such as income and employment type. Our check shows rates, not whether the model widens the historical gap.</w:t>
      </w:r>
    </w:p>
    <w:p w14:paraId="5809470F" w14:textId="77777777" w:rsidR="00EF1732" w:rsidRPr="000F1218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F1218">
        <w:rPr>
          <w:rFonts w:ascii="Times New Roman" w:hAnsi="Times New Roman" w:cs="Times New Roman"/>
        </w:rPr>
        <w:t>Savings rest on assumed volume and review time. Gradient Boosting is also harder to explain than Logistic Regression.</w:t>
      </w:r>
    </w:p>
    <w:sectPr w:rsidR="00EF1732" w:rsidRPr="000F12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81378"/>
    <w:multiLevelType w:val="hybridMultilevel"/>
    <w:tmpl w:val="21FE63C2"/>
    <w:lvl w:ilvl="0" w:tplc="660C402A">
      <w:start w:val="1"/>
      <w:numFmt w:val="bullet"/>
      <w:lvlText w:val="•"/>
      <w:lvlJc w:val="left"/>
      <w:pPr>
        <w:ind w:left="720" w:hanging="360"/>
      </w:pPr>
    </w:lvl>
    <w:lvl w:ilvl="1" w:tplc="0D36483E">
      <w:start w:val="1"/>
      <w:numFmt w:val="bullet"/>
      <w:lvlText w:val="o"/>
      <w:lvlJc w:val="left"/>
      <w:pPr>
        <w:ind w:left="1440" w:hanging="360"/>
      </w:pPr>
    </w:lvl>
    <w:lvl w:ilvl="2" w:tplc="CB2AB65A">
      <w:start w:val="1"/>
      <w:numFmt w:val="bullet"/>
      <w:lvlText w:val="▪"/>
      <w:lvlJc w:val="left"/>
      <w:pPr>
        <w:ind w:left="2160" w:hanging="360"/>
      </w:pPr>
    </w:lvl>
    <w:lvl w:ilvl="3" w:tplc="23E68432">
      <w:start w:val="1"/>
      <w:numFmt w:val="bullet"/>
      <w:lvlText w:val="•"/>
      <w:lvlJc w:val="left"/>
      <w:pPr>
        <w:ind w:left="2880" w:hanging="360"/>
      </w:pPr>
    </w:lvl>
    <w:lvl w:ilvl="4" w:tplc="F44C9890">
      <w:start w:val="1"/>
      <w:numFmt w:val="bullet"/>
      <w:lvlText w:val="o"/>
      <w:lvlJc w:val="left"/>
      <w:pPr>
        <w:ind w:left="3600" w:hanging="360"/>
      </w:pPr>
    </w:lvl>
    <w:lvl w:ilvl="5" w:tplc="70504FCC">
      <w:start w:val="1"/>
      <w:numFmt w:val="bullet"/>
      <w:lvlText w:val="▪"/>
      <w:lvlJc w:val="left"/>
      <w:pPr>
        <w:ind w:left="4320" w:hanging="360"/>
      </w:pPr>
    </w:lvl>
    <w:lvl w:ilvl="6" w:tplc="A8B24AA4">
      <w:start w:val="1"/>
      <w:numFmt w:val="bullet"/>
      <w:lvlText w:val="•"/>
      <w:lvlJc w:val="left"/>
      <w:pPr>
        <w:ind w:left="5040" w:hanging="360"/>
      </w:pPr>
    </w:lvl>
    <w:lvl w:ilvl="7" w:tplc="CF105742">
      <w:start w:val="1"/>
      <w:numFmt w:val="bullet"/>
      <w:lvlText w:val="o"/>
      <w:lvlJc w:val="left"/>
      <w:pPr>
        <w:ind w:left="5760" w:hanging="360"/>
      </w:pPr>
    </w:lvl>
    <w:lvl w:ilvl="8" w:tplc="02C82F4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DC54A87"/>
    <w:multiLevelType w:val="hybridMultilevel"/>
    <w:tmpl w:val="A36CD7A0"/>
    <w:lvl w:ilvl="0" w:tplc="B1021C24">
      <w:start w:val="1"/>
      <w:numFmt w:val="decimal"/>
      <w:lvlText w:val="%1."/>
      <w:lvlJc w:val="left"/>
      <w:pPr>
        <w:ind w:left="720" w:hanging="360"/>
      </w:pPr>
    </w:lvl>
    <w:lvl w:ilvl="1" w:tplc="EDDA57F0">
      <w:start w:val="1"/>
      <w:numFmt w:val="lowerLetter"/>
      <w:lvlText w:val="%2."/>
      <w:lvlJc w:val="left"/>
      <w:pPr>
        <w:ind w:left="1440" w:hanging="360"/>
      </w:pPr>
    </w:lvl>
    <w:lvl w:ilvl="2" w:tplc="EB26D0EA">
      <w:start w:val="1"/>
      <w:numFmt w:val="lowerRoman"/>
      <w:lvlText w:val="%3."/>
      <w:lvlJc w:val="left"/>
      <w:pPr>
        <w:ind w:left="2160" w:hanging="360"/>
      </w:pPr>
    </w:lvl>
    <w:lvl w:ilvl="3" w:tplc="3FFE49B0">
      <w:start w:val="1"/>
      <w:numFmt w:val="decimal"/>
      <w:lvlText w:val="%4."/>
      <w:lvlJc w:val="left"/>
      <w:pPr>
        <w:ind w:left="2880" w:hanging="360"/>
      </w:pPr>
    </w:lvl>
    <w:lvl w:ilvl="4" w:tplc="39A271DA">
      <w:start w:val="1"/>
      <w:numFmt w:val="lowerLetter"/>
      <w:lvlText w:val="%5."/>
      <w:lvlJc w:val="left"/>
      <w:pPr>
        <w:ind w:left="3600" w:hanging="360"/>
      </w:pPr>
    </w:lvl>
    <w:lvl w:ilvl="5" w:tplc="357896D4">
      <w:start w:val="1"/>
      <w:numFmt w:val="lowerRoman"/>
      <w:lvlText w:val="%6."/>
      <w:lvlJc w:val="left"/>
      <w:pPr>
        <w:ind w:left="4320" w:hanging="360"/>
      </w:pPr>
    </w:lvl>
    <w:lvl w:ilvl="6" w:tplc="EADA529A">
      <w:start w:val="1"/>
      <w:numFmt w:val="decimal"/>
      <w:lvlText w:val="%7."/>
      <w:lvlJc w:val="left"/>
      <w:pPr>
        <w:ind w:left="5040" w:hanging="360"/>
      </w:pPr>
    </w:lvl>
    <w:lvl w:ilvl="7" w:tplc="793EBEF8">
      <w:start w:val="1"/>
      <w:numFmt w:val="lowerLetter"/>
      <w:lvlText w:val="%8."/>
      <w:lvlJc w:val="left"/>
      <w:pPr>
        <w:ind w:left="5760" w:hanging="360"/>
      </w:pPr>
    </w:lvl>
    <w:lvl w:ilvl="8" w:tplc="BE126AB0">
      <w:start w:val="1"/>
      <w:numFmt w:val="lowerRoman"/>
      <w:lvlText w:val="%9."/>
      <w:lvlJc w:val="left"/>
      <w:pPr>
        <w:ind w:left="6480" w:hanging="360"/>
      </w:pPr>
    </w:lvl>
  </w:abstractNum>
  <w:num w:numId="1" w16cid:durableId="2144305047">
    <w:abstractNumId w:val="0"/>
  </w:num>
  <w:num w:numId="2" w16cid:durableId="728722142">
    <w:abstractNumId w:val="0"/>
  </w:num>
  <w:num w:numId="3" w16cid:durableId="554315288">
    <w:abstractNumId w:val="0"/>
  </w:num>
  <w:num w:numId="4" w16cid:durableId="40927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32"/>
    <w:rsid w:val="000F1218"/>
    <w:rsid w:val="007004F6"/>
    <w:rsid w:val="00CA0ECE"/>
    <w:rsid w:val="00E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61A70"/>
  <w15:docId w15:val="{75292F8A-2DA5-41CD-A1C9-80BB4D0A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Application Pre-Screener</dc:title>
  <dc:creator>Keerthi Priya</dc:creator>
  <dc:description>Claude Docs node/c43b7096-5dae@24 docx-w7</dc:description>
  <cp:lastModifiedBy>Keerthi Priya</cp:lastModifiedBy>
  <cp:revision>2</cp:revision>
  <dcterms:created xsi:type="dcterms:W3CDTF">2026-10-24T17:43:00Z</dcterms:created>
  <dcterms:modified xsi:type="dcterms:W3CDTF">2026-10-24T17:43:00Z</dcterms:modified>
</cp:coreProperties>
</file>