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696"/>
          <w:sz w:val="64"/>
        </w:rPr>
        <w:t>CyberGhost</w:t>
      </w:r>
    </w:p>
    <w:p>
      <w:pPr>
        <w:jc w:val="center"/>
      </w:pPr>
      <w:r>
        <w:rPr>
          <w:color w:val="1E78C8"/>
          <w:sz w:val="36"/>
        </w:rPr>
        <w:t>Hidden Privacy Risk Detector</w:t>
      </w:r>
    </w:p>
    <w:p/>
    <w:p>
      <w:pPr>
        <w:jc w:val="center"/>
      </w:pPr>
      <w:r>
        <w:rPr>
          <w:b/>
        </w:rPr>
        <w:t>IBM SkillsBuild Cybersecurity BootCamp — Project Report</w:t>
        <w:br/>
      </w:r>
      <w:r>
        <w:t>Date: October 2026</w:t>
        <w:br/>
      </w:r>
      <w:r>
        <w:t>Application type: Browser-only (HTML5 / CSS3 / Vanilla JavaScript)</w:t>
        <w:br/>
      </w:r>
    </w:p>
    <w:p>
      <w:r>
        <w:br w:type="page"/>
      </w:r>
    </w:p>
    <w:p>
      <w:pPr>
        <w:pStyle w:val="Heading1"/>
      </w:pPr>
      <w:r>
        <w:rPr>
          <w:color w:val="004696"/>
        </w:rPr>
        <w:t>1. Abstract</w:t>
      </w:r>
    </w:p>
    <w:p/>
    <w:p>
      <w:r>
        <w:t>CyberGhost is a browser-based, privacy-first web application that scans user-supplied text for potentially sensitive information — including email addresses, phone numbers, API secrets, possible government-style identifier patterns, and postal address patterns — entirely on the user's device without uploading any data to a server or external API.</w:t>
      </w:r>
    </w:p>
    <w:p>
      <w:r>
        <w:t>The application calculates an indicative privacy score (0–100), presents structured findings with explanations and recommendations, allows users to apply automatic masking with category-specific placeholders, and generates a downloadable JSON security report containing only metadata. All processing is performed using JavaScript regular expressions with no external dependencies or backend services.</w:t>
      </w:r>
    </w:p>
    <w:p>
      <w:pPr>
        <w:pStyle w:val="Heading1"/>
      </w:pPr>
      <w:r>
        <w:rPr>
          <w:color w:val="004696"/>
        </w:rPr>
        <w:t>2. Problem Statement</w:t>
      </w:r>
    </w:p>
    <w:p/>
    <w:p>
      <w:r>
        <w:t>Modern communication platforms make it easy to accidentally include sensitive personal information in messages intended for broad audiences. Common accidental exposures include:</w:t>
      </w:r>
    </w:p>
    <w:p>
      <w:pPr>
        <w:pStyle w:val="ListBullet"/>
      </w:pPr>
      <w:r>
        <w:t>Email addresses embedded in public posts, enabling spam harvesting and phishing.</w:t>
      </w:r>
    </w:p>
    <w:p>
      <w:pPr>
        <w:pStyle w:val="ListBullet"/>
      </w:pPr>
      <w:r>
        <w:t>Phone numbers disclosed unnecessarily, enabling unsolicited contact or SIM-swap attacks.</w:t>
      </w:r>
    </w:p>
    <w:p>
      <w:pPr>
        <w:pStyle w:val="ListBullet"/>
      </w:pPr>
      <w:r>
        <w:t>API keys and passwords accidentally pasted from configuration files, risking credential compromise.</w:t>
      </w:r>
    </w:p>
    <w:p>
      <w:pPr>
        <w:pStyle w:val="ListBullet"/>
      </w:pPr>
      <w:r>
        <w:t>Government-style ID number patterns shared without awareness of identity-theft risk.</w:t>
      </w:r>
    </w:p>
    <w:p>
      <w:pPr>
        <w:pStyle w:val="ListBullet"/>
      </w:pPr>
      <w:r>
        <w:t>Home addresses disclosed in professional or semi-public contexts.</w:t>
      </w:r>
    </w:p>
    <w:p/>
    <w:p>
      <w:pPr>
        <w:pStyle w:val="Heading2"/>
      </w:pPr>
      <w:r>
        <w:rPr>
          <w:color w:val="0064B4"/>
        </w:rPr>
        <w:t>The Gap</w:t>
      </w:r>
    </w:p>
    <w:p>
      <w:r>
        <w:t>Most existing privacy tools either require uploading text to a cloud service (creating a privacy paradox) or are built into complex enterprise platforms inaccessible to individuals. There is no simple, free, trustworthy, browser-local tool for reviewing text before sharing.</w:t>
      </w:r>
    </w:p>
    <w:p>
      <w:pPr>
        <w:pStyle w:val="Heading1"/>
      </w:pPr>
      <w:r>
        <w:rPr>
          <w:color w:val="004696"/>
        </w:rPr>
        <w:t>3. Objectives</w:t>
      </w:r>
    </w:p>
    <w:p/>
    <w:p>
      <w:pPr>
        <w:pStyle w:val="ListNumber"/>
      </w:pPr>
      <w:r>
        <w:t>1. Implement accurate, client-side pattern detection for five categories of sensitive information.</w:t>
      </w:r>
    </w:p>
    <w:p>
      <w:pPr>
        <w:pStyle w:val="ListNumber"/>
      </w:pPr>
      <w:r>
        <w:t>2. Calculate an indicative privacy score with clear explanations and an educational disclaimer.</w:t>
      </w:r>
    </w:p>
    <w:p>
      <w:pPr>
        <w:pStyle w:val="ListNumber"/>
      </w:pPr>
      <w:r>
        <w:t>3. Provide overlap-aware automatic text masking with category-specific placeholders.</w:t>
      </w:r>
    </w:p>
    <w:p>
      <w:pPr>
        <w:pStyle w:val="ListNumber"/>
      </w:pPr>
      <w:r>
        <w:t>4. Generate a safe JSON security report that excludes all original input text and full secret values.</w:t>
      </w:r>
    </w:p>
    <w:p>
      <w:pPr>
        <w:pStyle w:val="ListNumber"/>
      </w:pPr>
      <w:r>
        <w:t>5. Build a professional, accessible, responsive UI suitable for non-technical users.</w:t>
      </w:r>
    </w:p>
    <w:p>
      <w:pPr>
        <w:pStyle w:val="ListNumber"/>
      </w:pPr>
      <w:r>
        <w:t>6. Ensure strict privacy-by-design: no backend, no network calls during scanning, no data storage.</w:t>
      </w:r>
    </w:p>
    <w:p/>
    <w:p>
      <w:pPr>
        <w:pStyle w:val="Heading1"/>
      </w:pPr>
      <w:r>
        <w:rPr>
          <w:color w:val="004696"/>
        </w:rPr>
        <w:t>4. Existing Problem and Proposed Solution</w:t>
      </w:r>
    </w:p>
    <w:p/>
    <w:p>
      <w:pPr>
        <w:pStyle w:val="Heading2"/>
      </w:pPr>
      <w:r>
        <w:rPr>
          <w:color w:val="0064B4"/>
        </w:rPr>
        <w:t>Existing Solutions and Their Limitations</w:t>
      </w:r>
    </w:p>
    <w:tbl>
      <w:tblPr>
        <w:tblStyle w:val="TableGrid"/>
        <w:tblW w:type="auto" w:w="0"/>
        <w:tblLook w:firstColumn="1" w:firstRow="1" w:lastColumn="0" w:lastRow="0" w:noHBand="0" w:noVBand="1" w:val="04A0"/>
      </w:tblPr>
      <w:tblGrid>
        <w:gridCol w:w="4533"/>
        <w:gridCol w:w="4533"/>
      </w:tblGrid>
      <w:tr>
        <w:tc>
          <w:tcPr>
            <w:tcW w:type="dxa" w:w="4533"/>
          </w:tcPr>
          <w:p>
            <w:r>
              <w:rPr>
                <w:b/>
                <w:color w:val="FFFFFF"/>
              </w:rPr>
              <w:t>Tool Type</w:t>
            </w:r>
          </w:p>
        </w:tc>
        <w:tc>
          <w:tcPr>
            <w:tcW w:type="dxa" w:w="4533"/>
          </w:tcPr>
          <w:p>
            <w:r>
              <w:rPr>
                <w:b/>
                <w:color w:val="FFFFFF"/>
              </w:rPr>
              <w:t>Limitation</w:t>
            </w:r>
          </w:p>
        </w:tc>
      </w:tr>
      <w:tr>
        <w:tc>
          <w:tcPr>
            <w:tcW w:type="dxa" w:w="4533"/>
          </w:tcPr>
          <w:p>
            <w:r>
              <w:t>Cloud-based scanners</w:t>
            </w:r>
          </w:p>
        </w:tc>
        <w:tc>
          <w:tcPr>
            <w:tcW w:type="dxa" w:w="4533"/>
          </w:tcPr>
          <w:p>
            <w:r>
              <w:t>User must upload sensitive text to a third party — a privacy contradiction.</w:t>
            </w:r>
          </w:p>
        </w:tc>
      </w:tr>
      <w:tr>
        <w:tc>
          <w:tcPr>
            <w:tcW w:type="dxa" w:w="4533"/>
          </w:tcPr>
          <w:p>
            <w:r>
              <w:t>Enterprise DLP tools</w:t>
            </w:r>
          </w:p>
        </w:tc>
        <w:tc>
          <w:tcPr>
            <w:tcW w:type="dxa" w:w="4533"/>
          </w:tcPr>
          <w:p>
            <w:r>
              <w:t>Costly, complex, require IT administration; inaccessible to individuals.</w:t>
            </w:r>
          </w:p>
        </w:tc>
      </w:tr>
      <w:tr>
        <w:tc>
          <w:tcPr>
            <w:tcW w:type="dxa" w:w="4533"/>
          </w:tcPr>
          <w:p>
            <w:r>
              <w:t>Manual review</w:t>
            </w:r>
          </w:p>
        </w:tc>
        <w:tc>
          <w:tcPr>
            <w:tcW w:type="dxa" w:w="4533"/>
          </w:tcPr>
          <w:p>
            <w:r>
              <w:t>Error-prone and inconsistent; impractical for long or complex text.</w:t>
            </w:r>
          </w:p>
        </w:tc>
      </w:tr>
      <w:tr>
        <w:tc>
          <w:tcPr>
            <w:tcW w:type="dxa" w:w="4533"/>
          </w:tcPr>
          <w:p>
            <w:r>
              <w:t>Browser password managers</w:t>
            </w:r>
          </w:p>
        </w:tc>
        <w:tc>
          <w:tcPr>
            <w:tcW w:type="dxa" w:w="4533"/>
          </w:tcPr>
          <w:p>
            <w:r>
              <w:t>Only cover passwords in forms, not arbitrary plaintext documents.</w:t>
            </w:r>
          </w:p>
        </w:tc>
      </w:tr>
    </w:tbl>
    <w:p/>
    <w:p>
      <w:pPr>
        <w:pStyle w:val="Heading2"/>
      </w:pPr>
      <w:r>
        <w:rPr>
          <w:color w:val="0064B4"/>
        </w:rPr>
        <w:t>Proposed Solution</w:t>
      </w:r>
    </w:p>
    <w:p>
      <w:r>
        <w:t>CyberGhost runs entirely in the user's browser. Text is read into JavaScript memory, pattern-matched using regular expressions, and results are rendered in the DOM — all without any outbound network request. Closing the tab removes the text. This approach resolves the privacy paradox by design: the tool that protects privacy does not itself require surrendering privacy.</w:t>
      </w:r>
    </w:p>
    <w:p>
      <w:pPr>
        <w:pStyle w:val="Heading1"/>
      </w:pPr>
      <w:r>
        <w:rPr>
          <w:color w:val="004696"/>
        </w:rPr>
        <w:t>5. System Architecture</w:t>
      </w:r>
    </w:p>
    <w:p/>
    <w:p>
      <w:r>
        <w:t>CyberGhost consists of three static files. There is no server component.</w:t>
      </w:r>
    </w:p>
    <w:tbl>
      <w:tblPr>
        <w:tblStyle w:val="TableGrid"/>
        <w:tblW w:type="auto" w:w="0"/>
        <w:tblLook w:firstColumn="1" w:firstRow="1" w:lastColumn="0" w:lastRow="0" w:noHBand="0" w:noVBand="1" w:val="04A0"/>
      </w:tblPr>
      <w:tblGrid>
        <w:gridCol w:w="4533"/>
        <w:gridCol w:w="4533"/>
      </w:tblGrid>
      <w:tr>
        <w:tc>
          <w:tcPr>
            <w:tcW w:type="dxa" w:w="4533"/>
          </w:tcPr>
          <w:p>
            <w:r>
              <w:rPr>
                <w:b/>
                <w:color w:val="FFFFFF"/>
              </w:rPr>
              <w:t>File</w:t>
            </w:r>
          </w:p>
        </w:tc>
        <w:tc>
          <w:tcPr>
            <w:tcW w:type="dxa" w:w="4533"/>
          </w:tcPr>
          <w:p>
            <w:r>
              <w:rPr>
                <w:b/>
                <w:color w:val="FFFFFF"/>
              </w:rPr>
              <w:t>Responsibility</w:t>
            </w:r>
          </w:p>
        </w:tc>
      </w:tr>
      <w:tr>
        <w:tc>
          <w:tcPr>
            <w:tcW w:type="dxa" w:w="4533"/>
          </w:tcPr>
          <w:p>
            <w:r>
              <w:t>index.html</w:t>
            </w:r>
          </w:p>
        </w:tc>
        <w:tc>
          <w:tcPr>
            <w:tcW w:type="dxa" w:w="4533"/>
          </w:tcPr>
          <w:p>
            <w:r>
              <w:t>Semantic HTML5 UI shell with ARIA accessibility attributes.</w:t>
            </w:r>
          </w:p>
        </w:tc>
      </w:tr>
      <w:tr>
        <w:tc>
          <w:tcPr>
            <w:tcW w:type="dxa" w:w="4533"/>
          </w:tcPr>
          <w:p>
            <w:r>
              <w:t>styles.css</w:t>
            </w:r>
          </w:p>
        </w:tc>
        <w:tc>
          <w:tcPr>
            <w:tcW w:type="dxa" w:w="4533"/>
          </w:tcPr>
          <w:p>
            <w:r>
              <w:t>Design-token CSS system: dark theme, responsive Grid/Flexbox layout.</w:t>
            </w:r>
          </w:p>
        </w:tc>
      </w:tr>
      <w:tr>
        <w:tc>
          <w:tcPr>
            <w:tcW w:type="dxa" w:w="4533"/>
          </w:tcPr>
          <w:p>
            <w:r>
              <w:t>script.js</w:t>
            </w:r>
          </w:p>
        </w:tc>
        <w:tc>
          <w:tcPr>
            <w:tcW w:type="dxa" w:w="4533"/>
          </w:tcPr>
          <w:p>
            <w:r>
              <w:t>Detection engine and DOM rendering logic. All user data stays here.</w:t>
            </w:r>
          </w:p>
        </w:tc>
      </w:tr>
    </w:tbl>
    <w:p/>
    <w:p>
      <w:r>
        <w:t>The browser tab is the only processing environment. No API calls are made during scanning. The Blob API is used to generate the JSON report download client-side.</w:t>
      </w:r>
    </w:p>
    <w:p>
      <w:pPr>
        <w:pStyle w:val="Heading1"/>
      </w:pPr>
      <w:r>
        <w:rPr>
          <w:color w:val="004696"/>
        </w:rPr>
        <w:t>6. Implementation Methodology</w:t>
      </w:r>
    </w:p>
    <w:p/>
    <w:p>
      <w:pPr>
        <w:pStyle w:val="Heading2"/>
      </w:pPr>
      <w:r>
        <w:rPr>
          <w:color w:val="0064B4"/>
        </w:rPr>
        <w:t>6.1 Technology Choices</w:t>
      </w:r>
    </w:p>
    <w:tbl>
      <w:tblPr>
        <w:tblStyle w:val="TableGrid"/>
        <w:tblW w:type="auto" w:w="0"/>
        <w:tblLook w:firstColumn="1" w:firstRow="1" w:lastColumn="0" w:lastRow="0" w:noHBand="0" w:noVBand="1" w:val="04A0"/>
      </w:tblPr>
      <w:tblGrid>
        <w:gridCol w:w="4533"/>
        <w:gridCol w:w="4533"/>
      </w:tblGrid>
      <w:tr>
        <w:tc>
          <w:tcPr>
            <w:tcW w:type="dxa" w:w="4533"/>
          </w:tcPr>
          <w:p>
            <w:r>
              <w:rPr>
                <w:b/>
                <w:color w:val="FFFFFF"/>
              </w:rPr>
              <w:t>Technology</w:t>
            </w:r>
          </w:p>
        </w:tc>
        <w:tc>
          <w:tcPr>
            <w:tcW w:type="dxa" w:w="4533"/>
          </w:tcPr>
          <w:p>
            <w:r>
              <w:rPr>
                <w:b/>
                <w:color w:val="FFFFFF"/>
              </w:rPr>
              <w:t>Reason</w:t>
            </w:r>
          </w:p>
        </w:tc>
      </w:tr>
      <w:tr>
        <w:tc>
          <w:tcPr>
            <w:tcW w:type="dxa" w:w="4533"/>
          </w:tcPr>
          <w:p>
            <w:r>
              <w:t>HTML5</w:t>
            </w:r>
          </w:p>
        </w:tc>
        <w:tc>
          <w:tcPr>
            <w:tcW w:type="dxa" w:w="4533"/>
          </w:tcPr>
          <w:p>
            <w:r>
              <w:t>Semantic structure, ARIA roles for accessibility.</w:t>
            </w:r>
          </w:p>
        </w:tc>
      </w:tr>
      <w:tr>
        <w:tc>
          <w:tcPr>
            <w:tcW w:type="dxa" w:w="4533"/>
          </w:tcPr>
          <w:p>
            <w:r>
              <w:t>CSS3 Custom Properties</w:t>
            </w:r>
          </w:p>
        </w:tc>
        <w:tc>
          <w:tcPr>
            <w:tcW w:type="dxa" w:w="4533"/>
          </w:tcPr>
          <w:p>
            <w:r>
              <w:t>Design token system, responsive layout, transitions.</w:t>
            </w:r>
          </w:p>
        </w:tc>
      </w:tr>
      <w:tr>
        <w:tc>
          <w:tcPr>
            <w:tcW w:type="dxa" w:w="4533"/>
          </w:tcPr>
          <w:p>
            <w:r>
              <w:t>Vanilla JavaScript (ES2020)</w:t>
            </w:r>
          </w:p>
        </w:tc>
        <w:tc>
          <w:tcPr>
            <w:tcW w:type="dxa" w:w="4533"/>
          </w:tcPr>
          <w:p>
            <w:r>
              <w:t>No framework dependency; transparent logic.</w:t>
            </w:r>
          </w:p>
        </w:tc>
      </w:tr>
      <w:tr>
        <w:tc>
          <w:tcPr>
            <w:tcW w:type="dxa" w:w="4533"/>
          </w:tcPr>
          <w:p>
            <w:r>
              <w:t>Regular Expressions</w:t>
            </w:r>
          </w:p>
        </w:tc>
        <w:tc>
          <w:tcPr>
            <w:tcW w:type="dxa" w:w="4533"/>
          </w:tcPr>
          <w:p>
            <w:r>
              <w:t>Efficient pattern matching without external libraries.</w:t>
            </w:r>
          </w:p>
        </w:tc>
      </w:tr>
      <w:tr>
        <w:tc>
          <w:tcPr>
            <w:tcW w:type="dxa" w:w="4533"/>
          </w:tcPr>
          <w:p>
            <w:r>
              <w:t>Web Blob API</w:t>
            </w:r>
          </w:p>
        </w:tc>
        <w:tc>
          <w:tcPr>
            <w:tcW w:type="dxa" w:w="4533"/>
          </w:tcPr>
          <w:p>
            <w:r>
              <w:t>Client-side JSON file generation and download.</w:t>
            </w:r>
          </w:p>
        </w:tc>
      </w:tr>
    </w:tbl>
    <w:p/>
    <w:p>
      <w:r>
        <w:t>External CDNs, analytics, and fonts were deliberately excluded to prevent third-party data exposure.</w:t>
      </w:r>
    </w:p>
    <w:p>
      <w:pPr>
        <w:pStyle w:val="Heading2"/>
      </w:pPr>
      <w:r>
        <w:rPr>
          <w:color w:val="0064B4"/>
        </w:rPr>
        <w:t>6.2 Detection Engine Design</w:t>
      </w:r>
    </w:p>
    <w:p>
      <w:r>
        <w:t>Each detector is an independent function returning an array of Finding objects with a common structure: id, category, severity, start (character offset), end, maskedValue, contextSnippet, explanation, and recommendation.</w:t>
      </w:r>
    </w:p>
    <w:p>
      <w:r>
        <w:t>Using character offsets (rather than line numbers) enables reliable, offset-based masking that handles multiple findings and overlaps correctly.</w:t>
      </w:r>
    </w:p>
    <w:p>
      <w:pPr>
        <w:pStyle w:val="Heading2"/>
      </w:pPr>
      <w:r>
        <w:rPr>
          <w:color w:val="0064B4"/>
        </w:rPr>
        <w:t>6.3 Overlap Resolution</w:t>
      </w:r>
    </w:p>
    <w:p>
      <w:r>
        <w:t>Multiple detectors can flag the same text range (e.g., password=abc@test.com triggers both secret and email detectors). A priority queue resolves conflicts:</w:t>
      </w:r>
    </w:p>
    <w:p>
      <w:pPr>
        <w:pStyle w:val="ListBullet"/>
      </w:pPr>
      <w:r>
        <w:t>Priority: secret (0) &gt; identifier (1) &gt; address (2) &gt; phone (3) &gt; email (4)</w:t>
      </w:r>
    </w:p>
    <w:p>
      <w:r>
        <w:t>Lower numeric priority wins the overlap. This ensures the most security-critical finding is retained.</w:t>
      </w:r>
    </w:p>
    <w:p>
      <w:pPr>
        <w:pStyle w:val="Heading2"/>
      </w:pPr>
      <w:r>
        <w:rPr>
          <w:color w:val="0064B4"/>
        </w:rPr>
        <w:t>6.4 Privacy Score Algorithm</w:t>
      </w:r>
    </w:p>
    <w:p>
      <w:r>
        <w:t>The score starts at 100. For each unique finding category, a weighted deduction is applied. The first occurrence of a category receives the full weight; subsequent occurrences receive half the weight (rounded up). The score is clamped between 0 and 100.</w:t>
      </w:r>
    </w:p>
    <w:tbl>
      <w:tblPr>
        <w:tblStyle w:val="TableGrid"/>
        <w:tblW w:type="auto" w:w="0"/>
        <w:tblLook w:firstColumn="1" w:firstRow="1" w:lastColumn="0" w:lastRow="0" w:noHBand="0" w:noVBand="1" w:val="04A0"/>
      </w:tblPr>
      <w:tblGrid>
        <w:gridCol w:w="4533"/>
        <w:gridCol w:w="4533"/>
      </w:tblGrid>
      <w:tr>
        <w:tc>
          <w:tcPr>
            <w:tcW w:type="dxa" w:w="4533"/>
          </w:tcPr>
          <w:p>
            <w:r>
              <w:rPr>
                <w:b/>
                <w:color w:val="FFFFFF"/>
              </w:rPr>
              <w:t>Category</w:t>
            </w:r>
          </w:p>
        </w:tc>
        <w:tc>
          <w:tcPr>
            <w:tcW w:type="dxa" w:w="4533"/>
          </w:tcPr>
          <w:p>
            <w:r>
              <w:rPr>
                <w:b/>
                <w:color w:val="FFFFFF"/>
              </w:rPr>
              <w:t>Base Deduction (first occurrence)</w:t>
            </w:r>
          </w:p>
        </w:tc>
      </w:tr>
      <w:tr>
        <w:tc>
          <w:tcPr>
            <w:tcW w:type="dxa" w:w="4533"/>
          </w:tcPr>
          <w:p>
            <w:r>
              <w:t>Secret / Credential</w:t>
            </w:r>
          </w:p>
        </w:tc>
        <w:tc>
          <w:tcPr>
            <w:tcW w:type="dxa" w:w="4533"/>
          </w:tcPr>
          <w:p>
            <w:r>
              <w:t>35 points</w:t>
            </w:r>
          </w:p>
        </w:tc>
      </w:tr>
      <w:tr>
        <w:tc>
          <w:tcPr>
            <w:tcW w:type="dxa" w:w="4533"/>
          </w:tcPr>
          <w:p>
            <w:r>
              <w:t>Possible Identifier</w:t>
            </w:r>
          </w:p>
        </w:tc>
        <w:tc>
          <w:tcPr>
            <w:tcW w:type="dxa" w:w="4533"/>
          </w:tcPr>
          <w:p>
            <w:r>
              <w:t>25 points</w:t>
            </w:r>
          </w:p>
        </w:tc>
      </w:tr>
      <w:tr>
        <w:tc>
          <w:tcPr>
            <w:tcW w:type="dxa" w:w="4533"/>
          </w:tcPr>
          <w:p>
            <w:r>
              <w:t>Phone Number</w:t>
            </w:r>
          </w:p>
        </w:tc>
        <w:tc>
          <w:tcPr>
            <w:tcW w:type="dxa" w:w="4533"/>
          </w:tcPr>
          <w:p>
            <w:r>
              <w:t>20 points</w:t>
            </w:r>
          </w:p>
        </w:tc>
      </w:tr>
      <w:tr>
        <w:tc>
          <w:tcPr>
            <w:tcW w:type="dxa" w:w="4533"/>
          </w:tcPr>
          <w:p>
            <w:r>
              <w:t>Possible Address</w:t>
            </w:r>
          </w:p>
        </w:tc>
        <w:tc>
          <w:tcPr>
            <w:tcW w:type="dxa" w:w="4533"/>
          </w:tcPr>
          <w:p>
            <w:r>
              <w:t>20 points</w:t>
            </w:r>
          </w:p>
        </w:tc>
      </w:tr>
      <w:tr>
        <w:tc>
          <w:tcPr>
            <w:tcW w:type="dxa" w:w="4533"/>
          </w:tcPr>
          <w:p>
            <w:r>
              <w:t>Email Address</w:t>
            </w:r>
          </w:p>
        </w:tc>
        <w:tc>
          <w:tcPr>
            <w:tcW w:type="dxa" w:w="4533"/>
          </w:tcPr>
          <w:p>
            <w:r>
              <w:t>15 points</w:t>
            </w:r>
          </w:p>
        </w:tc>
      </w:tr>
    </w:tbl>
    <w:p/>
    <w:p>
      <w:pPr>
        <w:pStyle w:val="Heading2"/>
      </w:pPr>
      <w:r>
        <w:rPr>
          <w:color w:val="0064B4"/>
        </w:rPr>
        <w:t>6.5 Masking Algorithm</w:t>
      </w:r>
    </w:p>
    <w:p>
      <w:r>
        <w:t>Findings are sorted by ascending start offset. The original string is rebuilt by walking through findings in order, copying unaffected regions and inserting placeholders at each finding's position. This approach is O(n) in the number of findings and produces correct output for any number of non-overlapping findings.</w:t>
      </w:r>
    </w:p>
    <w:p>
      <w:pPr>
        <w:pStyle w:val="Heading2"/>
      </w:pPr>
      <w:r>
        <w:rPr>
          <w:color w:val="0064B4"/>
        </w:rPr>
        <w:t>6.6 XSS Prevention</w:t>
      </w:r>
    </w:p>
    <w:p>
      <w:r>
        <w:t>All user-supplied content is rendered exclusively via element.textContent assignment or DOM node construction (createElement / appendChild). The innerHTML property is never set using user-supplied content.</w:t>
      </w:r>
    </w:p>
    <w:p>
      <w:pPr>
        <w:pStyle w:val="Heading1"/>
      </w:pPr>
      <w:r>
        <w:rPr>
          <w:color w:val="004696"/>
        </w:rPr>
        <w:t>7. Module Descriptions</w:t>
      </w:r>
    </w:p>
    <w:p/>
    <w:tbl>
      <w:tblPr>
        <w:tblStyle w:val="TableGrid"/>
        <w:tblW w:type="auto" w:w="0"/>
        <w:tblLook w:firstColumn="1" w:firstRow="1" w:lastColumn="0" w:lastRow="0" w:noHBand="0" w:noVBand="1" w:val="04A0"/>
      </w:tblPr>
      <w:tblGrid>
        <w:gridCol w:w="4533"/>
        <w:gridCol w:w="4533"/>
      </w:tblGrid>
      <w:tr>
        <w:tc>
          <w:tcPr>
            <w:tcW w:type="dxa" w:w="4533"/>
          </w:tcPr>
          <w:p>
            <w:r>
              <w:rPr>
                <w:b/>
                <w:color w:val="FFFFFF"/>
              </w:rPr>
              <w:t>Function</w:t>
            </w:r>
          </w:p>
        </w:tc>
        <w:tc>
          <w:tcPr>
            <w:tcW w:type="dxa" w:w="4533"/>
          </w:tcPr>
          <w:p>
            <w:r>
              <w:rPr>
                <w:b/>
                <w:color w:val="FFFFFF"/>
              </w:rPr>
              <w:t>Responsibility</w:t>
            </w:r>
          </w:p>
        </w:tc>
      </w:tr>
      <w:tr>
        <w:tc>
          <w:tcPr>
            <w:tcW w:type="dxa" w:w="4533"/>
          </w:tcPr>
          <w:p>
            <w:r>
              <w:t>detectEmails(text)</w:t>
            </w:r>
          </w:p>
        </w:tc>
        <w:tc>
          <w:tcPr>
            <w:tcW w:type="dxa" w:w="4533"/>
          </w:tcPr>
          <w:p>
            <w:r>
              <w:t>Matches common email patterns using a general RFC-like regex.</w:t>
            </w:r>
          </w:p>
        </w:tc>
      </w:tr>
      <w:tr>
        <w:tc>
          <w:tcPr>
            <w:tcW w:type="dxa" w:w="4533"/>
          </w:tcPr>
          <w:p>
            <w:r>
              <w:t>detectPhones(text)</w:t>
            </w:r>
          </w:p>
        </w:tc>
        <w:tc>
          <w:tcPr>
            <w:tcW w:type="dxa" w:w="4533"/>
          </w:tcPr>
          <w:p>
            <w:r>
              <w:t>Matches phone patterns; filters short numbers, years, all-same-digit strings.</w:t>
            </w:r>
          </w:p>
        </w:tc>
      </w:tr>
      <w:tr>
        <w:tc>
          <w:tcPr>
            <w:tcW w:type="dxa" w:w="4533"/>
          </w:tcPr>
          <w:p>
            <w:r>
              <w:t>detectSecrets(text)</w:t>
            </w:r>
          </w:p>
        </w:tc>
        <w:tc>
          <w:tcPr>
            <w:tcW w:type="dxa" w:w="4533"/>
          </w:tcPr>
          <w:p>
            <w:r>
              <w:t>Matches credential assignment patterns and Bearer token headers.</w:t>
            </w:r>
          </w:p>
        </w:tc>
      </w:tr>
      <w:tr>
        <w:tc>
          <w:tcPr>
            <w:tcW w:type="dxa" w:w="4533"/>
          </w:tcPr>
          <w:p>
            <w:r>
              <w:t>detectPossibleIdentifiers(t)</w:t>
            </w:r>
          </w:p>
        </w:tc>
        <w:tc>
          <w:tcPr>
            <w:tcW w:type="dxa" w:w="4533"/>
          </w:tcPr>
          <w:p>
            <w:r>
              <w:t>Matches Aadhaar-like (12-digit), PAN-like, and SSN-like patterns.</w:t>
            </w:r>
          </w:p>
        </w:tc>
      </w:tr>
      <w:tr>
        <w:tc>
          <w:tcPr>
            <w:tcW w:type="dxa" w:w="4533"/>
          </w:tcPr>
          <w:p>
            <w:r>
              <w:t>detectPossibleAddresses(t)</w:t>
            </w:r>
          </w:p>
        </w:tc>
        <w:tc>
          <w:tcPr>
            <w:tcW w:type="dxa" w:w="4533"/>
          </w:tcPr>
          <w:p>
            <w:r>
              <w:t>Matches keyword+number heuristics for street/postal addresses.</w:t>
            </w:r>
          </w:p>
        </w:tc>
      </w:tr>
      <w:tr>
        <w:tc>
          <w:tcPr>
            <w:tcW w:type="dxa" w:w="4533"/>
          </w:tcPr>
          <w:p>
            <w:r>
              <w:t>resolveOverlaps(findings)</w:t>
            </w:r>
          </w:p>
        </w:tc>
        <w:tc>
          <w:tcPr>
            <w:tcW w:type="dxa" w:w="4533"/>
          </w:tcPr>
          <w:p>
            <w:r>
              <w:t>Priority-based overlap resolution; returns non-overlapping set.</w:t>
            </w:r>
          </w:p>
        </w:tc>
      </w:tr>
      <w:tr>
        <w:tc>
          <w:tcPr>
            <w:tcW w:type="dxa" w:w="4533"/>
          </w:tcPr>
          <w:p>
            <w:r>
              <w:t>calculatePrivacyScore(f)</w:t>
            </w:r>
          </w:p>
        </w:tc>
        <w:tc>
          <w:tcPr>
            <w:tcW w:type="dxa" w:w="4533"/>
          </w:tcPr>
          <w:p>
            <w:r>
              <w:t>Weighted deduction scoring; clamps to [0, 100].</w:t>
            </w:r>
          </w:p>
        </w:tc>
      </w:tr>
      <w:tr>
        <w:tc>
          <w:tcPr>
            <w:tcW w:type="dxa" w:w="4533"/>
          </w:tcPr>
          <w:p>
            <w:r>
              <w:t>maskFindings(text, findings)</w:t>
            </w:r>
          </w:p>
        </w:tc>
        <w:tc>
          <w:tcPr>
            <w:tcW w:type="dxa" w:w="4533"/>
          </w:tcPr>
          <w:p>
            <w:r>
              <w:t>Offset-accurate placeholder replacement.</w:t>
            </w:r>
          </w:p>
        </w:tc>
      </w:tr>
      <w:tr>
        <w:tc>
          <w:tcPr>
            <w:tcW w:type="dxa" w:w="4533"/>
          </w:tcPr>
          <w:p>
            <w:r>
              <w:t>generateSecurityReport(...)</w:t>
            </w:r>
          </w:p>
        </w:tc>
        <w:tc>
          <w:tcPr>
            <w:tcW w:type="dxa" w:w="4533"/>
          </w:tcPr>
          <w:p>
            <w:r>
              <w:t>Produces safe JSON object; never includes original text.</w:t>
            </w:r>
          </w:p>
        </w:tc>
      </w:tr>
      <w:tr>
        <w:tc>
          <w:tcPr>
            <w:tcW w:type="dxa" w:w="4533"/>
          </w:tcPr>
          <w:p>
            <w:r>
              <w:t>renderResults(text)</w:t>
            </w:r>
          </w:p>
        </w:tc>
        <w:tc>
          <w:tcPr>
            <w:tcW w:type="dxa" w:w="4533"/>
          </w:tcPr>
          <w:p>
            <w:r>
              <w:t>Orchestrates scan and DOM update.</w:t>
            </w:r>
          </w:p>
        </w:tc>
      </w:tr>
      <w:tr>
        <w:tc>
          <w:tcPr>
            <w:tcW w:type="dxa" w:w="4533"/>
          </w:tcPr>
          <w:p>
            <w:r>
              <w:t>applyMasking(text)</w:t>
            </w:r>
          </w:p>
        </w:tc>
        <w:tc>
          <w:tcPr>
            <w:tcW w:type="dxa" w:w="4533"/>
          </w:tcPr>
          <w:p>
            <w:r>
              <w:t>Applies masking and shows masked output area.</w:t>
            </w:r>
          </w:p>
        </w:tc>
      </w:tr>
      <w:tr>
        <w:tc>
          <w:tcPr>
            <w:tcW w:type="dxa" w:w="4533"/>
          </w:tcPr>
          <w:p>
            <w:r>
              <w:t>downloadReport()</w:t>
            </w:r>
          </w:p>
        </w:tc>
        <w:tc>
          <w:tcPr>
            <w:tcW w:type="dxa" w:w="4533"/>
          </w:tcPr>
          <w:p>
            <w:r>
              <w:t>Creates Blob and triggers client-side download.</w:t>
            </w:r>
          </w:p>
        </w:tc>
      </w:tr>
    </w:tbl>
    <w:p/>
    <w:p>
      <w:pPr>
        <w:pStyle w:val="Heading1"/>
      </w:pPr>
      <w:r>
        <w:rPr>
          <w:color w:val="004696"/>
        </w:rPr>
        <w:t>8. Testing Methodology and Results</w:t>
      </w:r>
    </w:p>
    <w:p/>
    <w:p>
      <w:r>
        <w:t>Manual functional testing was performed by entering specific inputs into the browser application and verifying DOM output against expected results. Network inspection was performed using browser DevTools (Network tab) to confirm zero outbound requests during scanning.</w:t>
      </w:r>
    </w:p>
    <w:p/>
    <w:tbl>
      <w:tblPr>
        <w:tblStyle w:val="TableGrid"/>
        <w:tblW w:type="auto" w:w="0"/>
        <w:tblLook w:firstColumn="1" w:firstRow="1" w:lastColumn="0" w:lastRow="0" w:noHBand="0" w:noVBand="1" w:val="04A0"/>
      </w:tblPr>
      <w:tblGrid>
        <w:gridCol w:w="4533"/>
        <w:gridCol w:w="4533"/>
      </w:tblGrid>
      <w:tr>
        <w:tc>
          <w:tcPr>
            <w:tcW w:type="dxa" w:w="4533"/>
          </w:tcPr>
          <w:p>
            <w:r>
              <w:rPr>
                <w:b/>
                <w:color w:val="FFFFFF"/>
              </w:rPr>
              <w:t>Test</w:t>
            </w:r>
          </w:p>
        </w:tc>
        <w:tc>
          <w:tcPr>
            <w:tcW w:type="dxa" w:w="4533"/>
          </w:tcPr>
          <w:p>
            <w:r>
              <w:rPr>
                <w:b/>
                <w:color w:val="FFFFFF"/>
              </w:rPr>
              <w:t>Result (26/26 Passed)</w:t>
            </w:r>
          </w:p>
        </w:tc>
      </w:tr>
      <w:tr>
        <w:tc>
          <w:tcPr>
            <w:tcW w:type="dxa" w:w="4533"/>
          </w:tcPr>
          <w:p>
            <w:r>
              <w:t>T01</w:t>
            </w:r>
          </w:p>
        </w:tc>
        <w:tc>
          <w:tcPr>
            <w:tcW w:type="dxa" w:w="4533"/>
          </w:tcPr>
          <w:p>
            <w:r>
              <w:t>Ordinary harmless text — 0 findings, score 100.</w:t>
            </w:r>
          </w:p>
        </w:tc>
      </w:tr>
      <w:tr>
        <w:tc>
          <w:tcPr>
            <w:tcW w:type="dxa" w:w="4533"/>
          </w:tcPr>
          <w:p>
            <w:r>
              <w:t>T02</w:t>
            </w:r>
          </w:p>
        </w:tc>
        <w:tc>
          <w:tcPr>
            <w:tcW w:type="dxa" w:w="4533"/>
          </w:tcPr>
          <w:p>
            <w:r>
              <w:t>One email address — arjun@example.com detected, Medium severity.</w:t>
            </w:r>
          </w:p>
        </w:tc>
      </w:tr>
      <w:tr>
        <w:tc>
          <w:tcPr>
            <w:tcW w:type="dxa" w:w="4533"/>
          </w:tcPr>
          <w:p>
            <w:r>
              <w:t>T03</w:t>
            </w:r>
          </w:p>
        </w:tc>
        <w:tc>
          <w:tcPr>
            <w:tcW w:type="dxa" w:w="4533"/>
          </w:tcPr>
          <w:p>
            <w:r>
              <w:t>Multiple email addresses — 2 emails detected, diminished deduction applied.</w:t>
            </w:r>
          </w:p>
        </w:tc>
      </w:tr>
      <w:tr>
        <w:tc>
          <w:tcPr>
            <w:tcW w:type="dxa" w:w="4533"/>
          </w:tcPr>
          <w:p>
            <w:r>
              <w:t>T04</w:t>
            </w:r>
          </w:p>
        </w:tc>
        <w:tc>
          <w:tcPr>
            <w:tcW w:type="dxa" w:w="4533"/>
          </w:tcPr>
          <w:p>
            <w:r>
              <w:t>Indian mobile (10-digit) — 9876543210 detected as Phone.</w:t>
            </w:r>
          </w:p>
        </w:tc>
      </w:tr>
      <w:tr>
        <w:tc>
          <w:tcPr>
            <w:tcW w:type="dxa" w:w="4533"/>
          </w:tcPr>
          <w:p>
            <w:r>
              <w:t>T05</w:t>
            </w:r>
          </w:p>
        </w:tc>
        <w:tc>
          <w:tcPr>
            <w:tcW w:type="dxa" w:w="4533"/>
          </w:tcPr>
          <w:p>
            <w:r>
              <w:t>International phone (+91) — +91 98765 43210 detected.</w:t>
            </w:r>
          </w:p>
        </w:tc>
      </w:tr>
      <w:tr>
        <w:tc>
          <w:tcPr>
            <w:tcW w:type="dxa" w:w="4533"/>
          </w:tcPr>
          <w:p>
            <w:r>
              <w:t>T06</w:t>
            </w:r>
          </w:p>
        </w:tc>
        <w:tc>
          <w:tcPr>
            <w:tcW w:type="dxa" w:w="4533"/>
          </w:tcPr>
          <w:p>
            <w:r>
              <w:t>Password assignment — password=DemoPass123! detected; value masked in results.</w:t>
            </w:r>
          </w:p>
        </w:tc>
      </w:tr>
      <w:tr>
        <w:tc>
          <w:tcPr>
            <w:tcW w:type="dxa" w:w="4533"/>
          </w:tcPr>
          <w:p>
            <w:r>
              <w:t>T07</w:t>
            </w:r>
          </w:p>
        </w:tc>
        <w:tc>
          <w:tcPr>
            <w:tcW w:type="dxa" w:w="4533"/>
          </w:tcPr>
          <w:p>
            <w:r>
              <w:t>API key assignment — api_key=demo_fake_key detected (High severity).</w:t>
            </w:r>
          </w:p>
        </w:tc>
      </w:tr>
      <w:tr>
        <w:tc>
          <w:tcPr>
            <w:tcW w:type="dxa" w:w="4533"/>
          </w:tcPr>
          <w:p>
            <w:r>
              <w:t>T08</w:t>
            </w:r>
          </w:p>
        </w:tc>
        <w:tc>
          <w:tcPr>
            <w:tcW w:type="dxa" w:w="4533"/>
          </w:tcPr>
          <w:p>
            <w:r>
              <w:t>Bearer-token-like value — Authorization header token detected.</w:t>
            </w:r>
          </w:p>
        </w:tc>
      </w:tr>
      <w:tr>
        <w:tc>
          <w:tcPr>
            <w:tcW w:type="dxa" w:w="4533"/>
          </w:tcPr>
          <w:p>
            <w:r>
              <w:t>T09</w:t>
            </w:r>
          </w:p>
        </w:tc>
        <w:tc>
          <w:tcPr>
            <w:tcW w:type="dxa" w:w="4533"/>
          </w:tcPr>
          <w:p>
            <w:r>
              <w:t>Multiple different finding categories — Email + Phone + Address; score &lt; 60.</w:t>
            </w:r>
          </w:p>
        </w:tc>
      </w:tr>
      <w:tr>
        <w:tc>
          <w:tcPr>
            <w:tcW w:type="dxa" w:w="4533"/>
          </w:tcPr>
          <w:p>
            <w:r>
              <w:t>T10</w:t>
            </w:r>
          </w:p>
        </w:tc>
        <w:tc>
          <w:tcPr>
            <w:tcW w:type="dxa" w:w="4533"/>
          </w:tcPr>
          <w:p>
            <w:r>
              <w:t>Masking preserves surrounding text — surrounding greeting/punctuation kept.</w:t>
            </w:r>
          </w:p>
        </w:tc>
      </w:tr>
      <w:tr>
        <w:tc>
          <w:tcPr>
            <w:tcW w:type="dxa" w:w="4533"/>
          </w:tcPr>
          <w:p>
            <w:r>
              <w:t>T11</w:t>
            </w:r>
          </w:p>
        </w:tc>
        <w:tc>
          <w:tcPr>
            <w:tcW w:type="dxa" w:w="4533"/>
          </w:tcPr>
          <w:p>
            <w:r>
              <w:t>Overlapping matches — secret priority over email in password=abc@test.com.</w:t>
            </w:r>
          </w:p>
        </w:tc>
      </w:tr>
      <w:tr>
        <w:tc>
          <w:tcPr>
            <w:tcW w:type="dxa" w:w="4533"/>
          </w:tcPr>
          <w:p>
            <w:r>
              <w:t>T12</w:t>
            </w:r>
          </w:p>
        </w:tc>
        <w:tc>
          <w:tcPr>
            <w:tcW w:type="dxa" w:w="4533"/>
          </w:tcPr>
          <w:p>
            <w:r>
              <w:t>Adjacent findings — adjacent tokens masked cleanly without offset drift.</w:t>
            </w:r>
          </w:p>
        </w:tc>
      </w:tr>
      <w:tr>
        <w:tc>
          <w:tcPr>
            <w:tcW w:type="dxa" w:w="4533"/>
          </w:tcPr>
          <w:p>
            <w:r>
              <w:t>T13</w:t>
            </w:r>
          </w:p>
        </w:tc>
        <w:tc>
          <w:tcPr>
            <w:tcW w:type="dxa" w:w="4533"/>
          </w:tcPr>
          <w:p>
            <w:r>
              <w:t>Repeated findings — diminishing deductions applied correctly.</w:t>
            </w:r>
          </w:p>
        </w:tc>
      </w:tr>
      <w:tr>
        <w:tc>
          <w:tcPr>
            <w:tcW w:type="dxa" w:w="4533"/>
          </w:tcPr>
          <w:p>
            <w:r>
              <w:t>T14</w:t>
            </w:r>
          </w:p>
        </w:tc>
        <w:tc>
          <w:tcPr>
            <w:tcW w:type="dxa" w:w="4533"/>
          </w:tcPr>
          <w:p>
            <w:r>
              <w:t>Unicode / non-English text — Devanagari/Japanese surrounding text preserved.</w:t>
            </w:r>
          </w:p>
        </w:tc>
      </w:tr>
      <w:tr>
        <w:tc>
          <w:tcPr>
            <w:tcW w:type="dxa" w:w="4533"/>
          </w:tcPr>
          <w:p>
            <w:r>
              <w:t>T15</w:t>
            </w:r>
          </w:p>
        </w:tc>
        <w:tc>
          <w:tcPr>
            <w:tcW w:type="dxa" w:w="4533"/>
          </w:tcPr>
          <w:p>
            <w:r>
              <w:t>Empty input — validation message shown; scan does not proceed.</w:t>
            </w:r>
          </w:p>
        </w:tc>
      </w:tr>
      <w:tr>
        <w:tc>
          <w:tcPr>
            <w:tcW w:type="dxa" w:w="4533"/>
          </w:tcPr>
          <w:p>
            <w:r>
              <w:t>T16</w:t>
            </w:r>
          </w:p>
        </w:tc>
        <w:tc>
          <w:tcPr>
            <w:tcW w:type="dxa" w:w="4533"/>
          </w:tcPr>
          <w:p>
            <w:r>
              <w:t>Whitespace-only input — handled safely without exceptions.</w:t>
            </w:r>
          </w:p>
        </w:tc>
      </w:tr>
      <w:tr>
        <w:tc>
          <w:tcPr>
            <w:tcW w:type="dxa" w:w="4533"/>
          </w:tcPr>
          <w:p>
            <w:r>
              <w:t>T17</w:t>
            </w:r>
          </w:p>
        </w:tc>
        <w:tc>
          <w:tcPr>
            <w:tcW w:type="dxa" w:w="4533"/>
          </w:tcPr>
          <w:p>
            <w:r>
              <w:t>Maximum input length — 100k-char processed within ~24ms.</w:t>
            </w:r>
          </w:p>
        </w:tc>
      </w:tr>
      <w:tr>
        <w:tc>
          <w:tcPr>
            <w:tcW w:type="dxa" w:w="4533"/>
          </w:tcPr>
          <w:p>
            <w:r>
              <w:t>T18</w:t>
            </w:r>
          </w:p>
        </w:tc>
        <w:tc>
          <w:tcPr>
            <w:tcW w:type="dxa" w:w="4533"/>
          </w:tcPr>
          <w:p>
            <w:r>
              <w:t>Input exceeding limit — rejected gracefully with warning.</w:t>
            </w:r>
          </w:p>
        </w:tc>
      </w:tr>
      <w:tr>
        <w:tc>
          <w:tcPr>
            <w:tcW w:type="dxa" w:w="4533"/>
          </w:tcPr>
          <w:p>
            <w:r>
              <w:t>T19</w:t>
            </w:r>
          </w:p>
        </w:tc>
        <w:tc>
          <w:tcPr>
            <w:tcW w:type="dxa" w:w="4533"/>
          </w:tcPr>
          <w:p>
            <w:r>
              <w:t>Malformed/unusual punctuation — nested brackets and punctuation preserved.</w:t>
            </w:r>
          </w:p>
        </w:tc>
      </w:tr>
      <w:tr>
        <w:tc>
          <w:tcPr>
            <w:tcW w:type="dxa" w:w="4533"/>
          </w:tcPr>
          <w:p>
            <w:r>
              <w:t>T20</w:t>
            </w:r>
          </w:p>
        </w:tc>
        <w:tc>
          <w:tcPr>
            <w:tcW w:type="dxa" w:w="4533"/>
          </w:tcPr>
          <w:p>
            <w:r>
              <w:t>Script-tag input (XSS) — inert text, zero script execution.</w:t>
            </w:r>
          </w:p>
        </w:tc>
      </w:tr>
      <w:tr>
        <w:tc>
          <w:tcPr>
            <w:tcW w:type="dxa" w:w="4533"/>
          </w:tcPr>
          <w:p>
            <w:r>
              <w:t>T21</w:t>
            </w:r>
          </w:p>
        </w:tc>
        <w:tc>
          <w:tcPr>
            <w:tcW w:type="dxa" w:w="4533"/>
          </w:tcPr>
          <w:p>
            <w:r>
              <w:t>JSON report generation — valid RFC 8259 JSON blob download.</w:t>
            </w:r>
          </w:p>
        </w:tc>
      </w:tr>
      <w:tr>
        <w:tc>
          <w:tcPr>
            <w:tcW w:type="dxa" w:w="4533"/>
          </w:tcPr>
          <w:p>
            <w:r>
              <w:t>T22</w:t>
            </w:r>
          </w:p>
        </w:tc>
        <w:tc>
          <w:tcPr>
            <w:tcW w:type="dxa" w:w="4533"/>
          </w:tcPr>
          <w:p>
            <w:r>
              <w:t>Report secret safety — raw credentials completely omitted from export.</w:t>
            </w:r>
          </w:p>
        </w:tc>
      </w:tr>
      <w:tr>
        <w:tc>
          <w:tcPr>
            <w:tcW w:type="dxa" w:w="4533"/>
          </w:tcPr>
          <w:p>
            <w:r>
              <w:t>T23</w:t>
            </w:r>
          </w:p>
        </w:tc>
        <w:tc>
          <w:tcPr>
            <w:tcW w:type="dxa" w:w="4533"/>
          </w:tcPr>
          <w:p>
            <w:r>
              <w:t>No backend / external API — zero remote network requests verified.</w:t>
            </w:r>
          </w:p>
        </w:tc>
      </w:tr>
      <w:tr>
        <w:tc>
          <w:tcPr>
            <w:tcW w:type="dxa" w:w="4533"/>
          </w:tcPr>
          <w:p>
            <w:r>
              <w:t>T24</w:t>
            </w:r>
          </w:p>
        </w:tc>
        <w:tc>
          <w:tcPr>
            <w:tcW w:type="dxa" w:w="4533"/>
          </w:tcPr>
          <w:p>
            <w:r>
              <w:t>Clear action — resets textarea, panels, scores, and counters.</w:t>
            </w:r>
          </w:p>
        </w:tc>
      </w:tr>
      <w:tr>
        <w:tc>
          <w:tcPr>
            <w:tcW w:type="dxa" w:w="4533"/>
          </w:tcPr>
          <w:p>
            <w:r>
              <w:t>T25</w:t>
            </w:r>
          </w:p>
        </w:tc>
        <w:tc>
          <w:tcPr>
            <w:tcW w:type="dxa" w:w="4533"/>
          </w:tcPr>
          <w:p>
            <w:r>
              <w:t>Rescanning after editing — stale indicator displays; rescan refreshes results.</w:t>
            </w:r>
          </w:p>
        </w:tc>
      </w:tr>
      <w:tr>
        <w:tc>
          <w:tcPr>
            <w:tcW w:type="dxa" w:w="4533"/>
          </w:tcPr>
          <w:p>
            <w:r>
              <w:t>T26</w:t>
            </w:r>
          </w:p>
        </w:tc>
        <w:tc>
          <w:tcPr>
            <w:tcW w:type="dxa" w:w="4533"/>
          </w:tcPr>
          <w:p>
            <w:r>
              <w:t>Copy Masked Text — copies masked string only, never original input.</w:t>
            </w:r>
          </w:p>
        </w:tc>
      </w:tr>
    </w:tbl>
    <w:p/>
    <w:p>
      <w:r>
        <w:t>Full test cases with inputs and expected results: tests/test_cases.md</w:t>
      </w:r>
    </w:p>
    <w:p>
      <w:pPr>
        <w:pStyle w:val="Heading1"/>
      </w:pPr>
      <w:r>
        <w:rPr>
          <w:color w:val="004696"/>
        </w:rPr>
        <w:t>9. Security and Privacy Considerations</w:t>
      </w:r>
    </w:p>
    <w:p/>
    <w:p>
      <w:pPr>
        <w:pStyle w:val="Heading2"/>
      </w:pPr>
      <w:r>
        <w:rPr>
          <w:color w:val="0064B4"/>
        </w:rPr>
        <w:t>9.1 Privacy Architecture</w:t>
      </w:r>
    </w:p>
    <w:p>
      <w:r>
        <w:t>CyberGhost implements a 'data never leaves the device' architecture. The browser tab is the only processing environment. There are no API calls, no analytics endpoints, no cloud logging, and no session storage of scanned content.</w:t>
      </w:r>
    </w:p>
    <w:p>
      <w:pPr>
        <w:pStyle w:val="Heading2"/>
      </w:pPr>
      <w:r>
        <w:rPr>
          <w:color w:val="0064B4"/>
        </w:rPr>
        <w:t>9.2 Report Safety</w:t>
      </w:r>
    </w:p>
    <w:p>
      <w:r>
        <w:t>The JSON report export excludes the original input text and any complete secret values. For secrets, the context snippet shows only the keyword prefix followed by '***'.</w:t>
      </w:r>
    </w:p>
    <w:p>
      <w:pPr>
        <w:pStyle w:val="Heading2"/>
      </w:pPr>
      <w:r>
        <w:rPr>
          <w:color w:val="0064B4"/>
        </w:rPr>
        <w:t>9.3 DOM Safety</w:t>
      </w:r>
    </w:p>
    <w:p>
      <w:r>
        <w:t>Every rendering path that touches user-supplied content uses textContent assignment or createElement/appendChild DOM construction. No path uses innerHTML, document.write, or eval with user content.</w:t>
      </w:r>
    </w:p>
    <w:p>
      <w:pPr>
        <w:pStyle w:val="Heading2"/>
      </w:pPr>
      <w:r>
        <w:rPr>
          <w:color w:val="0064B4"/>
        </w:rPr>
        <w:t>9.4 No Credentials in Source</w:t>
      </w:r>
    </w:p>
    <w:p>
      <w:r>
        <w:t>No real API keys, passwords, phone numbers, or personal data appear in the source code. Demo values use clearly fictional placeholders such as 'demo_fake_key_abc123456'.</w:t>
      </w:r>
    </w:p>
    <w:p>
      <w:pPr>
        <w:pStyle w:val="Heading2"/>
      </w:pPr>
      <w:r>
        <w:rPr>
          <w:color w:val="0064B4"/>
        </w:rPr>
        <w:t>9.5 Memory Considerations</w:t>
      </w:r>
    </w:p>
    <w:p>
      <w:r>
        <w:t>Browser memory will hold the input text while the tab is open — this is unavoidable for client-side processing. The privacy notice in the application accurately discloses this. Clearing the form or closing the tab removes the text from memory.</w:t>
      </w:r>
    </w:p>
    <w:p>
      <w:pPr>
        <w:pStyle w:val="Heading1"/>
      </w:pPr>
      <w:r>
        <w:rPr>
          <w:color w:val="004696"/>
        </w:rPr>
        <w:t>10. Limitations</w:t>
      </w:r>
    </w:p>
    <w:p/>
    <w:tbl>
      <w:tblPr>
        <w:tblStyle w:val="TableGrid"/>
        <w:tblW w:type="auto" w:w="0"/>
        <w:tblLook w:firstColumn="1" w:firstRow="1" w:lastColumn="0" w:lastRow="0" w:noHBand="0" w:noVBand="1" w:val="04A0"/>
      </w:tblPr>
      <w:tblGrid>
        <w:gridCol w:w="4533"/>
        <w:gridCol w:w="4533"/>
      </w:tblGrid>
      <w:tr>
        <w:tc>
          <w:tcPr>
            <w:tcW w:type="dxa" w:w="4533"/>
          </w:tcPr>
          <w:p>
            <w:r>
              <w:rPr>
                <w:b/>
                <w:color w:val="FFFFFF"/>
              </w:rPr>
              <w:t>Limitation</w:t>
            </w:r>
          </w:p>
        </w:tc>
        <w:tc>
          <w:tcPr>
            <w:tcW w:type="dxa" w:w="4533"/>
          </w:tcPr>
          <w:p>
            <w:r>
              <w:rPr>
                <w:b/>
                <w:color w:val="FFFFFF"/>
              </w:rPr>
              <w:t>Impact</w:t>
            </w:r>
          </w:p>
        </w:tc>
      </w:tr>
      <w:tr>
        <w:tc>
          <w:tcPr>
            <w:tcW w:type="dxa" w:w="4533"/>
          </w:tcPr>
          <w:p>
            <w:r>
              <w:t>Regex-only detection</w:t>
            </w:r>
          </w:p>
        </w:tc>
        <w:tc>
          <w:tcPr>
            <w:tcW w:type="dxa" w:w="4533"/>
          </w:tcPr>
          <w:p>
            <w:r>
              <w:t>Cannot detect semantically obfuscated or encoded secrets.</w:t>
            </w:r>
          </w:p>
        </w:tc>
      </w:tr>
      <w:tr>
        <w:tc>
          <w:tcPr>
            <w:tcW w:type="dxa" w:w="4533"/>
          </w:tcPr>
          <w:p>
            <w:r>
              <w:t>No encoding awareness</w:t>
            </w:r>
          </w:p>
        </w:tc>
        <w:tc>
          <w:tcPr>
            <w:tcW w:type="dxa" w:w="4533"/>
          </w:tcPr>
          <w:p>
            <w:r>
              <w:t>Base64-encoded credentials are not decoded or flagged.</w:t>
            </w:r>
          </w:p>
        </w:tc>
      </w:tr>
      <w:tr>
        <w:tc>
          <w:tcPr>
            <w:tcW w:type="dxa" w:w="4533"/>
          </w:tcPr>
          <w:p>
            <w:r>
              <w:t>Phone false positives</w:t>
            </w:r>
          </w:p>
        </w:tc>
        <w:tc>
          <w:tcPr>
            <w:tcW w:type="dxa" w:w="4533"/>
          </w:tcPr>
          <w:p>
            <w:r>
              <w:t>Numeric sequences in prices, dates, etc. may trigger phone detection.</w:t>
            </w:r>
          </w:p>
        </w:tc>
      </w:tr>
      <w:tr>
        <w:tc>
          <w:tcPr>
            <w:tcW w:type="dxa" w:w="4533"/>
          </w:tcPr>
          <w:p>
            <w:r>
              <w:t>Address keyword dependency</w:t>
            </w:r>
          </w:p>
        </w:tc>
        <w:tc>
          <w:tcPr>
            <w:tcW w:type="dxa" w:w="4533"/>
          </w:tcPr>
          <w:p>
            <w:r>
              <w:t>International addresses without English street-type keywords are missed.</w:t>
            </w:r>
          </w:p>
        </w:tc>
      </w:tr>
      <w:tr>
        <w:tc>
          <w:tcPr>
            <w:tcW w:type="dxa" w:w="4533"/>
          </w:tcPr>
          <w:p>
            <w:r>
              <w:t>No context analysis</w:t>
            </w:r>
          </w:p>
        </w:tc>
        <w:tc>
          <w:tcPr>
            <w:tcW w:type="dxa" w:w="4533"/>
          </w:tcPr>
          <w:p>
            <w:r>
              <w:t>Cannot distinguish public from private email addresses.</w:t>
            </w:r>
          </w:p>
        </w:tc>
      </w:tr>
      <w:tr>
        <w:tc>
          <w:tcPr>
            <w:tcW w:type="dxa" w:w="4533"/>
          </w:tcPr>
          <w:p>
            <w:r>
              <w:t>English-optimised</w:t>
            </w:r>
          </w:p>
        </w:tc>
        <w:tc>
          <w:tcPr>
            <w:tcW w:type="dxa" w:w="4533"/>
          </w:tcPr>
          <w:p>
            <w:r>
              <w:t>Non-English address keywords and phone formats may not be covered.</w:t>
            </w:r>
          </w:p>
        </w:tc>
      </w:tr>
      <w:tr>
        <w:tc>
          <w:tcPr>
            <w:tcW w:type="dxa" w:w="4533"/>
          </w:tcPr>
          <w:p>
            <w:r>
              <w:t>Single-tab processing</w:t>
            </w:r>
          </w:p>
        </w:tc>
        <w:tc>
          <w:tcPr>
            <w:tcW w:type="dxa" w:w="4533"/>
          </w:tcPr>
          <w:p>
            <w:r>
              <w:t>No cross-document or batch scanning.</w:t>
            </w:r>
          </w:p>
        </w:tc>
      </w:tr>
    </w:tbl>
    <w:p/>
    <w:p>
      <w:pPr>
        <w:pStyle w:val="Heading1"/>
      </w:pPr>
      <w:r>
        <w:rPr>
          <w:color w:val="004696"/>
        </w:rPr>
        <w:t>11. Conclusion</w:t>
      </w:r>
    </w:p>
    <w:p/>
    <w:p>
      <w:r>
        <w:t>CyberGhost successfully implements all seven required features within a strict privacy-by-design architecture. The application runs entirely in the browser, performs accurate pattern-based detection, calculates an indicative privacy score, provides reliable masking, and generates safe downloadable reports. All security and privacy requirements were met and verified through manual testing.</w:t>
      </w:r>
    </w:p>
    <w:p>
      <w:r>
        <w:t>The project demonstrates that a privacy tool can itself be privacy-respecting — a meaningful distinction from cloud-based alternatives that require uploading sensitive data to detect sensitive data.</w:t>
      </w:r>
    </w:p>
    <w:p>
      <w:pPr>
        <w:pStyle w:val="Heading1"/>
      </w:pPr>
      <w:r>
        <w:rPr>
          <w:color w:val="004696"/>
        </w:rPr>
        <w:t>12. Future Enhancements</w:t>
      </w:r>
    </w:p>
    <w:p/>
    <w:p>
      <w:pPr>
        <w:pStyle w:val="ListBullet"/>
      </w:pPr>
      <w:r>
        <w:t>Highlighted input overlay — colour-coded highlights on detected ranges in the input.</w:t>
      </w:r>
    </w:p>
    <w:p>
      <w:pPr>
        <w:pStyle w:val="ListBullet"/>
      </w:pPr>
      <w:r>
        <w:t>Configurable detection rules — allow users to add custom regex patterns.</w:t>
      </w:r>
    </w:p>
    <w:p>
      <w:pPr>
        <w:pStyle w:val="ListBullet"/>
      </w:pPr>
      <w:r>
        <w:t>Multi-language support — address patterns for non-English naming conventions.</w:t>
      </w:r>
    </w:p>
    <w:p>
      <w:pPr>
        <w:pStyle w:val="ListBullet"/>
      </w:pPr>
      <w:r>
        <w:t>PWA packaging — full offline capability with a service worker.</w:t>
      </w:r>
    </w:p>
    <w:p>
      <w:pPr>
        <w:pStyle w:val="ListBullet"/>
      </w:pPr>
      <w:r>
        <w:t>Bulk file scanning — accept plain-text or Markdown file uploads.</w:t>
      </w:r>
    </w:p>
    <w:p>
      <w:pPr>
        <w:pStyle w:val="ListBullet"/>
      </w:pPr>
      <w:r>
        <w:t>CSV report format — alternative to JSON for spreadsheet analysis.</w:t>
      </w:r>
    </w:p>
    <w:p>
      <w:pPr>
        <w:pStyle w:val="ListBullet"/>
      </w:pPr>
      <w:r>
        <w:t>Confidence scoring — per-finding confidence levels to reduce false-positive noise.</w:t>
      </w:r>
    </w:p>
    <w:p/>
    <w:p>
      <w:pPr>
        <w:pStyle w:val="Heading1"/>
      </w:pPr>
      <w:r>
        <w:rPr>
          <w:color w:val="004696"/>
        </w:rPr>
        <w:t>13. References</w:t>
      </w:r>
    </w:p>
    <w:p/>
    <w:p>
      <w:pPr>
        <w:pStyle w:val="ListBullet"/>
      </w:pPr>
      <w:r>
        <w:t>OWASP Web Security Testing Guide — https://owasp.org/www-project-web-security-testing-guide/</w:t>
      </w:r>
    </w:p>
    <w:p>
      <w:pPr>
        <w:pStyle w:val="ListBullet"/>
      </w:pPr>
      <w:r>
        <w:t>MDN Web Docs — Regular Expressions — https://developer.mozilla.org/en-US/docs/Web/JavaScript/Guide/Regular_Expressions</w:t>
      </w:r>
    </w:p>
    <w:p>
      <w:pPr>
        <w:pStyle w:val="ListBullet"/>
      </w:pPr>
      <w:r>
        <w:t>W3C — Accessible Rich Internet Applications (ARIA) Specification</w:t>
      </w:r>
    </w:p>
    <w:p>
      <w:pPr>
        <w:pStyle w:val="ListBullet"/>
      </w:pPr>
      <w:r>
        <w:t>GDPR Article 25 — Data Protection by Design and by Default</w:t>
      </w:r>
    </w:p>
    <w:p>
      <w:pPr>
        <w:pStyle w:val="ListBullet"/>
      </w:pPr>
      <w:r>
        <w:t>NIST SP 800-122 — Guide to Protecting the Confidentiality of PII</w:t>
      </w:r>
    </w:p>
    <w:p/>
    <w:p>
      <w:r>
        <w:rPr>
          <w:i/>
        </w:rPr>
        <w:t>This report documents the actual implementation of CyberGhost as built. No test results have been fabricated.</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