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307983B5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bookmarkStart w:id="0" w:name="_GoBack"/>
      <w:bookmarkEnd w:id="0"/>
      <w:r w:rsidR="00A77D91">
        <w:rPr>
          <w:sz w:val="26"/>
          <w:szCs w:val="26"/>
          <w:u w:color="0000FF"/>
        </w:rPr>
        <w:fldChar w:fldCharType="begin"/>
      </w:r>
      <w:r w:rsidR="00A77D91">
        <w:rPr>
          <w:sz w:val="26"/>
          <w:szCs w:val="26"/>
          <w:u w:color="0000FF"/>
        </w:rPr>
        <w:instrText xml:space="preserve"> HYPERLINK "mailto:</w:instrText>
      </w:r>
      <w:r w:rsidR="00A77D91" w:rsidRPr="00A77D91">
        <w:rPr>
          <w:sz w:val="26"/>
          <w:szCs w:val="26"/>
          <w:u w:color="0000FF"/>
        </w:rPr>
        <w:instrText>keerthirajasp1999@gmail.com</w:instrText>
      </w:r>
      <w:r w:rsidR="00A77D91">
        <w:rPr>
          <w:sz w:val="26"/>
          <w:szCs w:val="26"/>
          <w:u w:color="0000FF"/>
        </w:rPr>
        <w:instrText xml:space="preserve">" </w:instrText>
      </w:r>
      <w:r w:rsidR="00A77D91">
        <w:rPr>
          <w:sz w:val="26"/>
          <w:szCs w:val="26"/>
          <w:u w:color="0000FF"/>
        </w:rPr>
        <w:fldChar w:fldCharType="separate"/>
      </w:r>
      <w:r w:rsidR="00A77D91" w:rsidRPr="00CB1961">
        <w:rPr>
          <w:rStyle w:val="Hyperlink"/>
          <w:sz w:val="26"/>
          <w:szCs w:val="26"/>
          <w:u w:color="0000FF"/>
        </w:rPr>
        <w:t>keerthirajasp1999@gmail.com</w:t>
      </w:r>
      <w:r w:rsidR="00A77D91">
        <w:rPr>
          <w:sz w:val="26"/>
          <w:szCs w:val="26"/>
          <w:u w:color="0000FF"/>
        </w:rPr>
        <w:fldChar w:fldCharType="end"/>
      </w:r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32</cp:revision>
  <dcterms:created xsi:type="dcterms:W3CDTF">2024-08-31T05:45:00Z</dcterms:created>
  <dcterms:modified xsi:type="dcterms:W3CDTF">2024-09-12T03:14:00Z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