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52"/>
        </w:rPr>
        <w:t>APAAR Verify</w:t>
      </w:r>
    </w:p>
    <w:p>
      <w:pPr>
        <w:spacing w:after="320"/>
      </w:pPr>
      <w:r>
        <w:rPr>
          <w:rFonts w:ascii="Calibri" w:hAnsi="Calibri"/>
          <w:color w:val="4338CA"/>
          <w:sz w:val="28"/>
        </w:rPr>
        <w:t>Platform Demonstration &amp; End-to-End Walkthrough Guide (v1.0)</w:t>
      </w:r>
    </w:p>
    <w:tbl>
      <w:tblPr>
        <w:tblW w:type="auto" w:w="0"/>
        <w:jc w:val="center"/>
        <w:tblLayout w:type="fixed"/>
        <w:tblLook w:firstColumn="1" w:firstRow="1" w:lastColumn="0" w:lastRow="0" w:noHBand="0" w:noVBand="1" w:val="04A0"/>
      </w:tblPr>
      <w:tblGrid>
        <w:gridCol w:w="4968"/>
        <w:gridCol w:w="4968"/>
      </w:tblGrid>
      <w:tr>
        <w:tc>
          <w:tcPr>
            <w:tcW w:type="dxa" w:w="4896"/>
            <w:shd w:fill="F8FAFC"/>
          </w:tcPr>
          <w:p>
            <w:r>
              <w:rPr>
                <w:b/>
              </w:rPr>
              <w:t>Product: APAAR Academic Integrity Platform</w:t>
            </w:r>
          </w:p>
        </w:tc>
        <w:tc>
          <w:tcPr>
            <w:tcW w:type="dxa" w:w="4896"/>
            <w:shd w:fill="F8FAFC"/>
          </w:tcPr>
          <w:p>
            <w:r>
              <w:rPr>
                <w:b/>
              </w:rPr>
              <w:t>Delivery: Production-Grade MVP Complete</w:t>
            </w:r>
          </w:p>
        </w:tc>
      </w:tr>
      <w:tr>
        <w:tc>
          <w:tcPr>
            <w:tcW w:type="dxa" w:w="4896"/>
            <w:shd w:fill="F8FAFC"/>
          </w:tcPr>
          <w:p>
            <w:r>
              <w:t>Target Audience: AICTE Reviewers, Institutions, Verifiers</w:t>
            </w:r>
          </w:p>
        </w:tc>
        <w:tc>
          <w:tcPr>
            <w:tcW w:type="dxa" w:w="4896"/>
            <w:shd w:fill="F8FAFC"/>
          </w:tcPr>
          <w:p>
            <w:r>
              <w:t>Architecture: FastAPI + React + RS256 PKI + Graph</w:t>
            </w:r>
          </w:p>
        </w:tc>
      </w:tr>
    </w:tbl>
    <w:p/>
    <w:tbl>
      <w:tblPr>
        <w:tblW w:type="auto" w:w="0"/>
        <w:jc w:val="center"/>
        <w:tblLook w:firstColumn="1" w:firstRow="1" w:lastColumn="0" w:lastRow="0" w:noHBand="0" w:noVBand="1" w:val="04A0"/>
      </w:tblPr>
      <w:tblGrid>
        <w:gridCol w:w="9936"/>
      </w:tblGrid>
      <w:tr>
        <w:tc>
          <w:tcPr>
            <w:tcW w:type="dxa" w:w="9792"/>
            <w:shd w:fill="FEF3C7"/>
          </w:tcPr>
          <w:p>
            <w:pPr>
              <w:spacing w:before="120" w:after="120"/>
            </w:pPr>
            <w:r>
              <w:rPr>
                <w:b/>
                <w:color w:val="92400E"/>
              </w:rPr>
              <w:t>⚠️ DEMONSTRATION &amp; PROTOTYPE NOTICE:</w:t>
              <w:br/>
            </w:r>
            <w:r>
              <w:rPr>
                <w:color w:val="78350F"/>
                <w:sz w:val="19"/>
              </w:rPr>
              <w:t>APAAR Verify is an architectural and engineering prototype designed for the Smart India Hackathon. All institutional figures, student records, and verification responses shown in this demonstration are synthetic. Identity queries are simulated and do NOT constitute an official Ministry of Education or AICTE determination.</w:t>
            </w:r>
          </w:p>
        </w:tc>
      </w:tr>
    </w:tbl>
    <w:p/>
    <w:p>
      <w:pPr>
        <w:pStyle w:val="Heading1"/>
      </w:pPr>
      <w:r>
        <w:t>1. Demonstration Credentials &amp; Role Matrix</w:t>
      </w:r>
    </w:p>
    <w:p>
      <w:r>
        <w:t>The platform provides role-based authentication with strict multi-tenant isolation:</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Pr>
          <w:p>
            <w:r>
              <w:rPr>
                <w:b/>
                <w:color w:val="FFFFFF"/>
              </w:rPr>
              <w:t>Role</w:t>
            </w:r>
          </w:p>
        </w:tc>
        <w:tc>
          <w:tcPr>
            <w:tcW w:type="dxa" w:w="2592"/>
            <w:shd w:fill="1E3A8A"/>
          </w:tcPr>
          <w:p>
            <w:r>
              <w:rPr>
                <w:b/>
                <w:color w:val="FFFFFF"/>
              </w:rPr>
              <w:t>Email Username</w:t>
            </w:r>
          </w:p>
        </w:tc>
        <w:tc>
          <w:tcPr>
            <w:tcW w:type="dxa" w:w="1584"/>
            <w:shd w:fill="1E3A8A"/>
          </w:tcPr>
          <w:p>
            <w:r>
              <w:rPr>
                <w:b/>
                <w:color w:val="FFFFFF"/>
              </w:rPr>
              <w:t>Password</w:t>
            </w:r>
          </w:p>
        </w:tc>
        <w:tc>
          <w:tcPr>
            <w:tcW w:type="dxa" w:w="3456"/>
            <w:shd w:fill="1E3A8A"/>
          </w:tcPr>
          <w:p>
            <w:r>
              <w:rPr>
                <w:b/>
                <w:color w:val="FFFFFF"/>
              </w:rPr>
              <w:t>Primary Responsibilities</w:t>
            </w:r>
          </w:p>
        </w:tc>
      </w:tr>
      <w:tr>
        <w:tc>
          <w:tcPr>
            <w:tcW w:type="dxa" w:w="2160"/>
            <w:shd w:fill="FFFFFF"/>
          </w:tcPr>
          <w:p>
            <w:r>
              <w:t>AICTE Admin</w:t>
            </w:r>
          </w:p>
        </w:tc>
        <w:tc>
          <w:tcPr>
            <w:tcW w:type="dxa" w:w="2592"/>
            <w:shd w:fill="FFFFFF"/>
          </w:tcPr>
          <w:p>
            <w:r>
              <w:t>admin@aicte.gov.in</w:t>
            </w:r>
          </w:p>
        </w:tc>
        <w:tc>
          <w:tcPr>
            <w:tcW w:type="dxa" w:w="1584"/>
            <w:shd w:fill="FFFFFF"/>
          </w:tcPr>
          <w:p>
            <w:r>
              <w:t>Demo@1234</w:t>
            </w:r>
          </w:p>
        </w:tc>
        <w:tc>
          <w:tcPr>
            <w:tcW w:type="dxa" w:w="3456"/>
            <w:shd w:fill="FFFFFF"/>
          </w:tcPr>
          <w:p>
            <w:r>
              <w:t>National oversight, intake ceilings, graph analytics, risk studio</w:t>
            </w:r>
          </w:p>
        </w:tc>
      </w:tr>
      <w:tr>
        <w:tc>
          <w:tcPr>
            <w:tcW w:type="dxa" w:w="2160"/>
            <w:shd w:fill="F8FAFC"/>
          </w:tcPr>
          <w:p>
            <w:r>
              <w:t>AICTE Reviewer</w:t>
            </w:r>
          </w:p>
        </w:tc>
        <w:tc>
          <w:tcPr>
            <w:tcW w:type="dxa" w:w="2592"/>
            <w:shd w:fill="F8FAFC"/>
          </w:tcPr>
          <w:p>
            <w:r>
              <w:t>reviewer@aicte.gov.in</w:t>
            </w:r>
          </w:p>
        </w:tc>
        <w:tc>
          <w:tcPr>
            <w:tcW w:type="dxa" w:w="1584"/>
            <w:shd w:fill="F8FAFC"/>
          </w:tcPr>
          <w:p>
            <w:r>
              <w:t>Demo@1234</w:t>
            </w:r>
          </w:p>
        </w:tc>
        <w:tc>
          <w:tcPr>
            <w:tcW w:type="dxa" w:w="3456"/>
            <w:shd w:fill="F8FAFC"/>
          </w:tcPr>
          <w:p>
            <w:r>
              <w:t>Investigate flagged anomalies, make defensible decisions, audit reviews</w:t>
            </w:r>
          </w:p>
        </w:tc>
      </w:tr>
      <w:tr>
        <w:tc>
          <w:tcPr>
            <w:tcW w:type="dxa" w:w="2160"/>
            <w:shd w:fill="FFFFFF"/>
          </w:tcPr>
          <w:p>
            <w:r>
              <w:t>IIT Demo Operator</w:t>
            </w:r>
          </w:p>
        </w:tc>
        <w:tc>
          <w:tcPr>
            <w:tcW w:type="dxa" w:w="2592"/>
            <w:shd w:fill="FFFFFF"/>
          </w:tcPr>
          <w:p>
            <w:r>
              <w:t>operator@iit-demo.edu</w:t>
            </w:r>
          </w:p>
        </w:tc>
        <w:tc>
          <w:tcPr>
            <w:tcW w:type="dxa" w:w="1584"/>
            <w:shd w:fill="FFFFFF"/>
          </w:tcPr>
          <w:p>
            <w:r>
              <w:t>Demo@1234</w:t>
            </w:r>
          </w:p>
        </w:tc>
        <w:tc>
          <w:tcPr>
            <w:tcW w:type="dxa" w:w="3456"/>
            <w:shd w:fill="FFFFFF"/>
          </w:tcPr>
          <w:p>
            <w:r>
              <w:t>Batch CSV uploads, student record management, draft corrections</w:t>
            </w:r>
          </w:p>
        </w:tc>
      </w:tr>
      <w:tr>
        <w:tc>
          <w:tcPr>
            <w:tcW w:type="dxa" w:w="2160"/>
            <w:shd w:fill="F8FAFC"/>
          </w:tcPr>
          <w:p>
            <w:r>
              <w:t>NIT Demo Operator</w:t>
            </w:r>
          </w:p>
        </w:tc>
        <w:tc>
          <w:tcPr>
            <w:tcW w:type="dxa" w:w="2592"/>
            <w:shd w:fill="F8FAFC"/>
          </w:tcPr>
          <w:p>
            <w:r>
              <w:t>operator@nit-demo.edu</w:t>
            </w:r>
          </w:p>
        </w:tc>
        <w:tc>
          <w:tcPr>
            <w:tcW w:type="dxa" w:w="1584"/>
            <w:shd w:fill="F8FAFC"/>
          </w:tcPr>
          <w:p>
            <w:r>
              <w:t>Demo@1234</w:t>
            </w:r>
          </w:p>
        </w:tc>
        <w:tc>
          <w:tcPr>
            <w:tcW w:type="dxa" w:w="3456"/>
            <w:shd w:fill="F8FAFC"/>
          </w:tcPr>
          <w:p>
            <w:r>
              <w:t>Independent institutional silo, separate student registry &amp; batch processing</w:t>
            </w:r>
          </w:p>
        </w:tc>
      </w:tr>
    </w:tbl>
    <w:p/>
    <w:p>
      <w:pPr>
        <w:pStyle w:val="Heading1"/>
      </w:pPr>
      <w:r>
        <w:t>2. Step-by-Step Interactive Demonstration Scenarios</w:t>
      </w:r>
    </w:p>
    <w:p>
      <w:pPr>
        <w:pStyle w:val="Heading2"/>
      </w:pPr>
      <w:r>
        <w:t>Scenario 1: Institutional Batch CSV Ingestion &amp; 9-Rule Deterministic Flagging</w:t>
      </w:r>
    </w:p>
    <w:p>
      <w:r>
        <w:rPr>
          <w:b/>
        </w:rPr>
        <w:t xml:space="preserve">Primary Actor: </w:t>
      </w:r>
      <w:r>
        <w:t xml:space="preserve">Institution Operator (operator@iit-demo.edu)  |  </w:t>
      </w:r>
      <w:r>
        <w:rPr>
          <w:b/>
        </w:rPr>
        <w:t xml:space="preserve">UI Route: </w:t>
      </w:r>
      <w:r>
        <w:t>http://localhost:5173/institution/upload</w:t>
        <w:br/>
      </w:r>
      <w:r>
        <w:rPr>
          <w:b/>
        </w:rPr>
        <w:t xml:space="preserve">API Endpoint: </w:t>
      </w:r>
      <w:r>
        <w:t>POST /api/v1/uploads</w:t>
      </w:r>
    </w:p>
    <w:p>
      <w:r>
        <w:t>Action Steps:</w:t>
      </w:r>
    </w:p>
    <w:p>
      <w:pPr>
        <w:spacing w:after="40"/>
        <w:ind w:left="288"/>
      </w:pPr>
      <w:r>
        <w:t>1. Log into the Institution Portal as operator@iit-demo.edu.</w:t>
      </w:r>
    </w:p>
    <w:p>
      <w:pPr>
        <w:spacing w:after="40"/>
        <w:ind w:left="288"/>
      </w:pPr>
      <w:r>
        <w:t>2. Navigate to the 'Upload Student Data' workspace.</w:t>
      </w:r>
    </w:p>
    <w:p>
      <w:pPr>
        <w:spacing w:after="40"/>
        <w:ind w:left="288"/>
      </w:pPr>
      <w:r>
        <w:t>3. Upload a synthetic admission batch CSV (e.g., synthetic_students_50.csv).</w:t>
      </w:r>
    </w:p>
    <w:p>
      <w:pPr>
        <w:spacing w:after="40"/>
        <w:ind w:left="288"/>
      </w:pPr>
      <w:r>
        <w:t>4. Observe the 2-Stage Staging Pipeline: the system validates format, encoding, and schema before database commitment.</w:t>
      </w:r>
    </w:p>
    <w:p>
      <w:pPr>
        <w:spacing w:after="40"/>
        <w:ind w:left="288"/>
      </w:pPr>
      <w:r>
        <w:t>5. The 9-rule integrity engine automatically flags seeded irregularities (e.g. APAAR_FORMAT_INVALID, REQUIRED_FIELD_MISSING, CATEGORY_INCONSISTENCY).</w:t>
      </w:r>
    </w:p>
    <w:p>
      <w:pPr>
        <w:spacing w:after="40"/>
        <w:ind w:left="288"/>
      </w:pPr>
      <w:r>
        <w:t>6. Review the row-level error table, download the sanitized errors report (with formula injection shielding), and commit valid records.</w:t>
      </w:r>
    </w:p>
    <w:p>
      <w:pPr>
        <w:spacing w:before="80"/>
      </w:pPr>
      <w:r>
        <w:rPr>
          <w:b/>
          <w:color w:val="166534"/>
        </w:rPr>
        <w:t xml:space="preserve">Expected Outcome: </w:t>
      </w:r>
      <w:r>
        <w:t>Batch committed with full cryptographic checksum and row-level issue linkage in database.</w:t>
      </w:r>
    </w:p>
    <w:p/>
    <w:p>
      <w:pPr>
        <w:pStyle w:val="Heading2"/>
      </w:pPr>
      <w:r>
        <w:t>Scenario 2: Multi-Stage Expanded Correction Reconciliation Workflow</w:t>
      </w:r>
    </w:p>
    <w:p>
      <w:r>
        <w:rPr>
          <w:b/>
        </w:rPr>
        <w:t xml:space="preserve">Primary Actor: </w:t>
      </w:r>
      <w:r>
        <w:t xml:space="preserve">Operator -&gt; Institution Admin -&gt; AICTE Reviewer  |  </w:t>
      </w:r>
      <w:r>
        <w:rPr>
          <w:b/>
        </w:rPr>
        <w:t xml:space="preserve">UI Route: </w:t>
      </w:r>
      <w:r>
        <w:t>http://localhost:5173/institution/corrections &amp; /aicte/reviews</w:t>
        <w:br/>
      </w:r>
      <w:r>
        <w:rPr>
          <w:b/>
        </w:rPr>
        <w:t xml:space="preserve">API Endpoint: </w:t>
      </w:r>
      <w:r>
        <w:t>POST /api/v1/corrections-workflow</w:t>
      </w:r>
    </w:p>
    <w:p>
      <w:r>
        <w:t>Action Steps:</w:t>
      </w:r>
    </w:p>
    <w:p>
      <w:pPr>
        <w:spacing w:after="40"/>
        <w:ind w:left="288"/>
      </w:pPr>
      <w:r>
        <w:t>1. From the Student Detail view (/institution/students/:id), the Operator initiates an expanded correction request with proposed field changes and audit justification.</w:t>
      </w:r>
    </w:p>
    <w:p>
      <w:pPr>
        <w:spacing w:after="40"/>
        <w:ind w:left="288"/>
      </w:pPr>
      <w:r>
        <w:t>2. The request enters stage 'pending_institution_admin'.</w:t>
      </w:r>
    </w:p>
    <w:p>
      <w:pPr>
        <w:spacing w:after="40"/>
        <w:ind w:left="288"/>
      </w:pPr>
      <w:r>
        <w:t>3. Institution Admin reviews the institutional rationale, adds audit notes, and endorses it to 'pending_aicte_review'.</w:t>
      </w:r>
    </w:p>
    <w:p>
      <w:pPr>
        <w:spacing w:after="40"/>
        <w:ind w:left="288"/>
      </w:pPr>
      <w:r>
        <w:t>4. The AICTE Reviewer accesses the National Review Queue (/aicte/reviews), compares side-by-side historical snapshots, and approves the change.</w:t>
      </w:r>
    </w:p>
    <w:p>
      <w:pPr>
        <w:spacing w:after="40"/>
        <w:ind w:left="288"/>
      </w:pPr>
      <w:r>
        <w:t>5. The system creates an immutable StudentRecordVersion snapshot and automatically updates the active student record.</w:t>
      </w:r>
    </w:p>
    <w:p>
      <w:pPr>
        <w:spacing w:before="80"/>
      </w:pPr>
      <w:r>
        <w:rPr>
          <w:b/>
          <w:color w:val="166534"/>
        </w:rPr>
        <w:t xml:space="preserve">Expected Outcome: </w:t>
      </w:r>
      <w:r>
        <w:t>Complete multi-tiered regulatory audit trail with cryptographic versioning.</w:t>
      </w:r>
    </w:p>
    <w:p/>
    <w:p>
      <w:pPr>
        <w:pStyle w:val="Heading2"/>
      </w:pPr>
      <w:r>
        <w:t>Scenario 3: Interactive Admission Integrity Graph &amp; 30-Day Regulatory SLA</w:t>
      </w:r>
    </w:p>
    <w:p>
      <w:r>
        <w:rPr>
          <w:b/>
        </w:rPr>
        <w:t xml:space="preserve">Primary Actor: </w:t>
      </w:r>
      <w:r>
        <w:t xml:space="preserve">AICTE Administrator (admin@aicte.gov.in)  |  </w:t>
      </w:r>
      <w:r>
        <w:rPr>
          <w:b/>
        </w:rPr>
        <w:t xml:space="preserve">UI Route: </w:t>
      </w:r>
      <w:r>
        <w:t>http://localhost:5173/aicte/graph &amp; /aicte/integrity</w:t>
        <w:br/>
      </w:r>
      <w:r>
        <w:rPr>
          <w:b/>
        </w:rPr>
        <w:t xml:space="preserve">API Endpoint: </w:t>
      </w:r>
      <w:r>
        <w:t>GET /api/v1/graph/topology &amp; GET /api/v1/freshness/overview</w:t>
      </w:r>
    </w:p>
    <w:p>
      <w:r>
        <w:t>Action Steps:</w:t>
      </w:r>
    </w:p>
    <w:p>
      <w:pPr>
        <w:spacing w:after="40"/>
        <w:ind w:left="288"/>
      </w:pPr>
      <w:r>
        <w:t>1. Navigate to the Admission Integrity Graph (/aicte/graph).</w:t>
      </w:r>
    </w:p>
    <w:p>
      <w:pPr>
        <w:spacing w:after="40"/>
        <w:ind w:left="288"/>
      </w:pPr>
      <w:r>
        <w:t>2. Inspect the interactive visual topology connecting Institutions, Programs, Cycles, and Student Records.</w:t>
      </w:r>
    </w:p>
    <w:p>
      <w:pPr>
        <w:spacing w:after="40"/>
        <w:ind w:left="288"/>
      </w:pPr>
      <w:r>
        <w:t>3. Observe color-coded duplicate clusters linking students enrolled across multiple institutions.</w:t>
      </w:r>
    </w:p>
    <w:p>
      <w:pPr>
        <w:spacing w:after="40"/>
        <w:ind w:left="288"/>
      </w:pPr>
      <w:r>
        <w:t>4. Navigate to the Freshness &amp; SLA Dashboard to monitor institutional submission timestamps against the mandatory 30-day regulatory compliance window.</w:t>
      </w:r>
    </w:p>
    <w:p>
      <w:pPr>
        <w:spacing w:before="80"/>
      </w:pPr>
      <w:r>
        <w:rPr>
          <w:b/>
          <w:color w:val="166534"/>
        </w:rPr>
        <w:t xml:space="preserve">Expected Outcome: </w:t>
      </w:r>
      <w:r>
        <w:t>Instant visual detection of multi-enrollment syndicates and non-compliant stale submissions.</w:t>
      </w:r>
    </w:p>
    <w:p/>
    <w:p>
      <w:pPr>
        <w:pStyle w:val="Heading2"/>
      </w:pPr>
      <w:r>
        <w:t>Scenario 4: Enterprise Asymmetric RS256 PKI Issuance &amp; QR Verification</w:t>
      </w:r>
    </w:p>
    <w:p>
      <w:r>
        <w:rPr>
          <w:b/>
        </w:rPr>
        <w:t xml:space="preserve">Primary Actor: </w:t>
      </w:r>
      <w:r>
        <w:t xml:space="preserve">Public Verifier / Employer / Student  |  </w:t>
      </w:r>
      <w:r>
        <w:rPr>
          <w:b/>
        </w:rPr>
        <w:t xml:space="preserve">UI Route: </w:t>
      </w:r>
      <w:r>
        <w:t>http://localhost:5173/verify</w:t>
        <w:br/>
      </w:r>
      <w:r>
        <w:rPr>
          <w:b/>
        </w:rPr>
        <w:t xml:space="preserve">API Endpoint: </w:t>
      </w:r>
      <w:r>
        <w:t>GET /api/v1/.well-known/jwks.json &amp; POST /api/v1/verification/verify-token</w:t>
      </w:r>
    </w:p>
    <w:p>
      <w:r>
        <w:t>Action Steps:</w:t>
      </w:r>
    </w:p>
    <w:p>
      <w:pPr>
        <w:spacing w:after="40"/>
        <w:ind w:left="288"/>
      </w:pPr>
      <w:r>
        <w:t>1. From a verified student profile, issue a Purpose-Bound Verifiable Credential (e.g. 'employment_screening' or 'admission_verification').</w:t>
      </w:r>
    </w:p>
    <w:p>
      <w:pPr>
        <w:spacing w:after="40"/>
        <w:ind w:left="288"/>
      </w:pPr>
      <w:r>
        <w:t>2. The backend signs an asymmetric RSA-2048 token with SHA-256 (RS256) and embeds the Key ID (kid).</w:t>
      </w:r>
    </w:p>
    <w:p>
      <w:pPr>
        <w:spacing w:after="40"/>
        <w:ind w:left="288"/>
      </w:pPr>
      <w:r>
        <w:t>3. Inspect the RFC 7517 dynamic JWKS endpoint at http://localhost:8000/api/v1/.well-known/jwks.json.</w:t>
      </w:r>
    </w:p>
    <w:p>
      <w:pPr>
        <w:spacing w:after="40"/>
        <w:ind w:left="288"/>
      </w:pPr>
      <w:r>
        <w:t>4. Navigate to the public verification portal (/verify).</w:t>
      </w:r>
    </w:p>
    <w:p>
      <w:pPr>
        <w:spacing w:after="40"/>
        <w:ind w:left="288"/>
      </w:pPr>
      <w:r>
        <w:t>5. Scan the generated QR code or paste the cryptographic token to execute offline verification against the public key.</w:t>
      </w:r>
    </w:p>
    <w:p>
      <w:pPr>
        <w:spacing w:after="40"/>
        <w:ind w:left="288"/>
      </w:pPr>
      <w:r>
        <w:t>6. Observe the strict verification result: VALID status, issuer confirmation, and zero PII leakage beyond permitted purpose.</w:t>
      </w:r>
    </w:p>
    <w:p>
      <w:pPr>
        <w:spacing w:before="80"/>
      </w:pPr>
      <w:r>
        <w:rPr>
          <w:b/>
          <w:color w:val="166534"/>
        </w:rPr>
        <w:t xml:space="preserve">Expected Outcome: </w:t>
      </w:r>
      <w:r>
        <w:t>Zero-trust verification without exposing sensitive student identity numbers.</w:t>
      </w:r>
    </w:p>
    <w:p/>
    <w:p>
      <w:pPr>
        <w:pStyle w:val="Heading2"/>
      </w:pPr>
      <w:r>
        <w:t>Scenario 5: Direct Campus ERP Ingestion &amp; Blinded Zero-Knowledge Exchange</w:t>
      </w:r>
    </w:p>
    <w:p>
      <w:r>
        <w:rPr>
          <w:b/>
        </w:rPr>
        <w:t xml:space="preserve">Primary Actor: </w:t>
      </w:r>
      <w:r>
        <w:t xml:space="preserve">Automated Campus SIS &amp; Verification Agent  |  </w:t>
      </w:r>
      <w:r>
        <w:rPr>
          <w:b/>
        </w:rPr>
        <w:t xml:space="preserve">UI Route: </w:t>
      </w:r>
      <w:r>
        <w:t>REST API Integration &amp; /institution/overview</w:t>
        <w:br/>
      </w:r>
      <w:r>
        <w:rPr>
          <w:b/>
        </w:rPr>
        <w:t xml:space="preserve">API Endpoint: </w:t>
      </w:r>
      <w:r>
        <w:t>POST /api/v1/institution-api/v1/sis/push-records &amp; POST /api/v1/privacy-exchange/blinded-proof</w:t>
      </w:r>
    </w:p>
    <w:p>
      <w:r>
        <w:t>Action Steps:</w:t>
      </w:r>
    </w:p>
    <w:p>
      <w:pPr>
        <w:spacing w:after="40"/>
        <w:ind w:left="288"/>
      </w:pPr>
      <w:r>
        <w:t>1. Generate a cryptographically hashed Institutional API Key with permission scoping.</w:t>
      </w:r>
    </w:p>
    <w:p>
      <w:pPr>
        <w:spacing w:after="40"/>
        <w:ind w:left="288"/>
      </w:pPr>
      <w:r>
        <w:t>2. Simulate Campus ERP batch ingestion using HTTP header 'X-Institution-API-Key: inst_live_...'.</w:t>
      </w:r>
    </w:p>
    <w:p>
      <w:pPr>
        <w:spacing w:after="40"/>
        <w:ind w:left="288"/>
      </w:pPr>
      <w:r>
        <w:t>3. Trigger a Zero-Knowledge Blinded Proof request for predicate 'CURRENTLY_ENROLLED_REGULAR_STUDENT'.</w:t>
      </w:r>
    </w:p>
    <w:p>
      <w:pPr>
        <w:spacing w:after="40"/>
        <w:ind w:left="288"/>
      </w:pPr>
      <w:r>
        <w:t>4. Verify the blinded proof token without decrypting or storing any underlying personal data.</w:t>
      </w:r>
    </w:p>
    <w:p>
      <w:pPr>
        <w:spacing w:before="80"/>
      </w:pPr>
      <w:r>
        <w:rPr>
          <w:b/>
          <w:color w:val="166534"/>
        </w:rPr>
        <w:t xml:space="preserve">Expected Outcome: </w:t>
      </w:r>
      <w:r>
        <w:t>Seamless machine-to-machine sync and cryptographically blinded mathematical assertions.</w:t>
      </w:r>
    </w:p>
    <w:p/>
    <w:p>
      <w:pPr>
        <w:pStyle w:val="Heading2"/>
      </w:pPr>
      <w:r>
        <w:t>Scenario 6: OCR-Assisted Document &amp; Marksheet Reconciliation</w:t>
      </w:r>
    </w:p>
    <w:p>
      <w:r>
        <w:rPr>
          <w:b/>
        </w:rPr>
        <w:t xml:space="preserve">Primary Actor: </w:t>
      </w:r>
      <w:r>
        <w:t xml:space="preserve">Institution Operator / Reviewer  |  </w:t>
      </w:r>
      <w:r>
        <w:rPr>
          <w:b/>
        </w:rPr>
        <w:t xml:space="preserve">UI Route: </w:t>
      </w:r>
      <w:r>
        <w:t>http://localhost:5173/institution/students/:id (OCR Tab)</w:t>
        <w:br/>
      </w:r>
      <w:r>
        <w:rPr>
          <w:b/>
        </w:rPr>
        <w:t xml:space="preserve">API Endpoint: </w:t>
      </w:r>
      <w:r>
        <w:t>POST /api/v1/ocr/reconcile-document</w:t>
      </w:r>
    </w:p>
    <w:p>
      <w:r>
        <w:t>Action Steps:</w:t>
      </w:r>
    </w:p>
    <w:p>
      <w:pPr>
        <w:spacing w:after="40"/>
        <w:ind w:left="288"/>
      </w:pPr>
      <w:r>
        <w:t>1. Open any student profile and select the new 'OCR Document Reconciliation' tab.</w:t>
      </w:r>
    </w:p>
    <w:p>
      <w:pPr>
        <w:spacing w:after="40"/>
        <w:ind w:left="288"/>
      </w:pPr>
      <w:r>
        <w:t>2. Click 'Simulate Valid Marksheet' to pre-populate scanned certificate fields (Candidate Name, Roll No, DOB, Marks, Board).</w:t>
      </w:r>
    </w:p>
    <w:p>
      <w:pPr>
        <w:spacing w:after="40"/>
        <w:ind w:left="288"/>
      </w:pPr>
      <w:r>
        <w:t>3. Click 'Execute OCR Fuzzy Reconciliation' to observe instant fuzzy string matching and 98%+ confidence score ('VERIFIED').</w:t>
      </w:r>
    </w:p>
    <w:p>
      <w:pPr>
        <w:spacing w:after="40"/>
        <w:ind w:left="288"/>
      </w:pPr>
      <w:r>
        <w:t>4. Click 'Simulate Conflicting Document' with mismatched candidate names or altered roll numbers.</w:t>
      </w:r>
    </w:p>
    <w:p>
      <w:pPr>
        <w:spacing w:after="40"/>
        <w:ind w:left="288"/>
      </w:pPr>
      <w:r>
        <w:t>5. Execute reconciliation to observe automatic 'MISMATCH_FLAGGED' status and automated creation of a DOCUMENT_DATA_MISMATCH compliance flag.</w:t>
      </w:r>
    </w:p>
    <w:p>
      <w:pPr>
        <w:spacing w:before="80"/>
      </w:pPr>
      <w:r>
        <w:rPr>
          <w:b/>
          <w:color w:val="166534"/>
        </w:rPr>
        <w:t xml:space="preserve">Expected Outcome: </w:t>
      </w:r>
      <w:r>
        <w:t>Automated fraud prevention against tampered or conflicting paper credentials.</w:t>
      </w:r>
    </w:p>
    <w:p/>
    <w:p>
      <w:pPr>
        <w:pStyle w:val="Heading2"/>
      </w:pPr>
      <w:r>
        <w:t>Scenario 7: National Integrity Risk Studio &amp; 30-Day Anomaly Forecasting</w:t>
      </w:r>
    </w:p>
    <w:p>
      <w:r>
        <w:rPr>
          <w:b/>
        </w:rPr>
        <w:t xml:space="preserve">Primary Actor: </w:t>
      </w:r>
      <w:r>
        <w:t xml:space="preserve">AICTE Administrator (admin@aicte.gov.in)  |  </w:t>
      </w:r>
      <w:r>
        <w:rPr>
          <w:b/>
        </w:rPr>
        <w:t xml:space="preserve">UI Route: </w:t>
      </w:r>
      <w:r>
        <w:t>http://localhost:5173/aicte/analytics</w:t>
        <w:br/>
      </w:r>
      <w:r>
        <w:rPr>
          <w:b/>
        </w:rPr>
        <w:t xml:space="preserve">API Endpoint: </w:t>
      </w:r>
      <w:r>
        <w:t>GET /api/v1/analytics/risk-scores &amp; GET /api/v1/analytics/trends</w:t>
      </w:r>
    </w:p>
    <w:p>
      <w:r>
        <w:t>Action Steps:</w:t>
      </w:r>
    </w:p>
    <w:p>
      <w:pPr>
        <w:spacing w:after="40"/>
        <w:ind w:left="288"/>
      </w:pPr>
      <w:r>
        <w:t>1. Navigate to National Analytics (/aicte/analytics).</w:t>
      </w:r>
    </w:p>
    <w:p>
      <w:pPr>
        <w:spacing w:after="40"/>
        <w:ind w:left="288"/>
      </w:pPr>
      <w:r>
        <w:t>2. Switch to the 'Risk Scoring Studio' tab to inspect institutional composite risk scores (0-100) combining anomaly density, severity weighting, duplicate clustering, and capacity breaches.</w:t>
      </w:r>
    </w:p>
    <w:p>
      <w:pPr>
        <w:spacing w:after="40"/>
        <w:ind w:left="288"/>
      </w:pPr>
      <w:r>
        <w:t>3. Review Risk Tiers (Critical, High, Moderate, Low Risk) and automated AICTE regulatory audit recommendations.</w:t>
      </w:r>
    </w:p>
    <w:p>
      <w:pPr>
        <w:spacing w:after="40"/>
        <w:ind w:left="288"/>
      </w:pPr>
      <w:r>
        <w:t>4. Switch to 'Model Performance' to view precision rates (96%+ average) and false-positive rates across all 9 rule engines.</w:t>
      </w:r>
    </w:p>
    <w:p>
      <w:pPr>
        <w:spacing w:before="80"/>
      </w:pPr>
      <w:r>
        <w:rPr>
          <w:b/>
          <w:color w:val="166534"/>
        </w:rPr>
        <w:t xml:space="preserve">Expected Outcome: </w:t>
      </w:r>
      <w:r>
        <w:t>Macro-level statistical forecasting and automated risk prioritization for regulatory inspections.</w:t>
      </w:r>
    </w:p>
    <w:p/>
    <w:p>
      <w:pPr>
        <w:pStyle w:val="Heading1"/>
      </w:pPr>
      <w:r>
        <w:t>3. Shareable Link &amp; Live Demo Access Instructions</w:t>
      </w:r>
    </w:p>
    <w:p>
      <w:r>
        <w:t>To present or share the live demonstration with team members, evaluators, or public users:</w:t>
      </w:r>
    </w:p>
    <w:tbl>
      <w:tblPr>
        <w:tblW w:type="auto" w:w="0"/>
        <w:jc w:val="center"/>
        <w:tblLook w:firstColumn="1" w:firstRow="1" w:lastColumn="0" w:lastRow="0" w:noHBand="0" w:noVBand="1" w:val="04A0"/>
      </w:tblPr>
      <w:tblGrid>
        <w:gridCol w:w="3312"/>
        <w:gridCol w:w="3312"/>
        <w:gridCol w:w="3312"/>
      </w:tblGrid>
      <w:tr>
        <w:tc>
          <w:tcPr>
            <w:tcW w:type="dxa" w:w="3168"/>
            <w:shd w:fill="1E3A8A"/>
          </w:tcPr>
          <w:p>
            <w:r>
              <w:rPr>
                <w:b/>
                <w:color w:val="FFFFFF"/>
              </w:rPr>
              <w:t>Service / Portal</w:t>
            </w:r>
          </w:p>
        </w:tc>
        <w:tc>
          <w:tcPr>
            <w:tcW w:type="dxa" w:w="3168"/>
            <w:shd w:fill="1E3A8A"/>
          </w:tcPr>
          <w:p>
            <w:r>
              <w:rPr>
                <w:b/>
                <w:color w:val="FFFFFF"/>
              </w:rPr>
              <w:t>Local Access URL</w:t>
            </w:r>
          </w:p>
        </w:tc>
        <w:tc>
          <w:tcPr>
            <w:tcW w:type="dxa" w:w="3456"/>
            <w:shd w:fill="1E3A8A"/>
          </w:tcPr>
          <w:p>
            <w:r>
              <w:rPr>
                <w:b/>
                <w:color w:val="FFFFFF"/>
              </w:rPr>
              <w:t>External / Shareable Access</w:t>
            </w:r>
          </w:p>
        </w:tc>
      </w:tr>
      <w:tr>
        <w:tc>
          <w:tcPr>
            <w:tcW w:type="dxa" w:w="3168"/>
            <w:shd w:fill="FFFFFF"/>
          </w:tcPr>
          <w:p>
            <w:r>
              <w:t>Main Web Application</w:t>
            </w:r>
          </w:p>
        </w:tc>
        <w:tc>
          <w:tcPr>
            <w:tcW w:type="dxa" w:w="3168"/>
            <w:shd w:fill="FFFFFF"/>
          </w:tcPr>
          <w:p>
            <w:r>
              <w:t>http://localhost:5173</w:t>
            </w:r>
          </w:p>
        </w:tc>
        <w:tc>
          <w:tcPr>
            <w:tcW w:type="dxa" w:w="3456"/>
            <w:shd w:fill="FFFFFF"/>
          </w:tcPr>
          <w:p>
            <w:r>
              <w:t>https://7f4fee2bc4e56f.lhr.life (Direct Public Tunnel)</w:t>
            </w:r>
          </w:p>
        </w:tc>
      </w:tr>
      <w:tr>
        <w:tc>
          <w:tcPr>
            <w:tcW w:type="dxa" w:w="3168"/>
            <w:shd w:fill="F8FAFC"/>
          </w:tcPr>
          <w:p>
            <w:r>
              <w:t>Public Credential Verifier</w:t>
            </w:r>
          </w:p>
        </w:tc>
        <w:tc>
          <w:tcPr>
            <w:tcW w:type="dxa" w:w="3168"/>
            <w:shd w:fill="F8FAFC"/>
          </w:tcPr>
          <w:p>
            <w:r>
              <w:t>http://localhost:5173/verify</w:t>
            </w:r>
          </w:p>
        </w:tc>
        <w:tc>
          <w:tcPr>
            <w:tcW w:type="dxa" w:w="3456"/>
            <w:shd w:fill="F8FAFC"/>
          </w:tcPr>
          <w:p>
            <w:r>
              <w:t>https://7f4fee2bc4e56f.lhr.life/verify</w:t>
            </w:r>
          </w:p>
        </w:tc>
      </w:tr>
      <w:tr>
        <w:tc>
          <w:tcPr>
            <w:tcW w:type="dxa" w:w="3168"/>
            <w:shd w:fill="FFFFFF"/>
          </w:tcPr>
          <w:p>
            <w:r>
              <w:t>FastAPI Interactive Docs</w:t>
            </w:r>
          </w:p>
        </w:tc>
        <w:tc>
          <w:tcPr>
            <w:tcW w:type="dxa" w:w="3168"/>
            <w:shd w:fill="FFFFFF"/>
          </w:tcPr>
          <w:p>
            <w:r>
              <w:t>http://localhost:8000/api/v1/docs</w:t>
            </w:r>
          </w:p>
        </w:tc>
        <w:tc>
          <w:tcPr>
            <w:tcW w:type="dxa" w:w="3456"/>
            <w:shd w:fill="FFFFFF"/>
          </w:tcPr>
          <w:p>
            <w:r>
              <w:t>Live OpenAPI specification &amp; testing</w:t>
            </w:r>
          </w:p>
        </w:tc>
      </w:tr>
      <w:tr>
        <w:tc>
          <w:tcPr>
            <w:tcW w:type="dxa" w:w="3168"/>
            <w:shd w:fill="F8FAFC"/>
          </w:tcPr>
          <w:p>
            <w:r>
              <w:t>Dynamic JWKS Public Keys</w:t>
            </w:r>
          </w:p>
        </w:tc>
        <w:tc>
          <w:tcPr>
            <w:tcW w:type="dxa" w:w="3168"/>
            <w:shd w:fill="F8FAFC"/>
          </w:tcPr>
          <w:p>
            <w:r>
              <w:t>http://localhost:8000/api/v1/.well-known/jwks.json</w:t>
            </w:r>
          </w:p>
        </w:tc>
        <w:tc>
          <w:tcPr>
            <w:tcW w:type="dxa" w:w="3456"/>
            <w:shd w:fill="F8FAFC"/>
          </w:tcPr>
          <w:p>
            <w:r>
              <w:t>https://7f4fee2bc4e56f.lhr.life/api/v1/.well-known/jwks.json</w:t>
            </w:r>
          </w:p>
        </w:tc>
      </w:tr>
    </w:tbl>
    <w:p/>
    <w:p>
      <w:pPr>
        <w:pStyle w:val="Heading3"/>
      </w:pPr>
      <w:r>
        <w:t>Starting the Services for Local Network Sharing:</w:t>
      </w:r>
    </w:p>
    <w:p>
      <w:r>
        <w:t>1. Start the FastAPI backend with 0.0.0.0 binding:</w:t>
        <w:br/>
        <w:t xml:space="preserve">   cd backend &amp;&amp; python -m uvicorn app.main:app --host 0.0.0.0 --port 8000 --reload</w:t>
        <w:br/>
        <w:br/>
        <w:t>2. Start the Vite React frontend with host exposure:</w:t>
        <w:br/>
        <w:t xml:space="preserve">   cd frontend &amp;&amp; npm run dev -- --host 0.0.0.0 --port 5173</w:t>
        <w:br/>
        <w:br/>
        <w:t>3. Optional Cloud Tunnel for external internet sharing:</w:t>
        <w:br/>
        <w:t xml:space="preserve">   npx localtunnel --port 5173</w:t>
        <w:br/>
        <w:t xml:space="preserve">   (or run: ngrok http 5173)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