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FD" w:rsidRPr="002375A7" w:rsidRDefault="006C5AFD" w:rsidP="002375A7">
      <w:pPr>
        <w:ind w:left="-57" w:right="-57"/>
        <w:jc w:val="center"/>
        <w:rPr>
          <w:b/>
        </w:rPr>
      </w:pPr>
      <w:r w:rsidRPr="002375A7">
        <w:rPr>
          <w:b/>
        </w:rPr>
        <w:t>2</w:t>
      </w:r>
      <w:r w:rsidR="0072250F" w:rsidRPr="002375A7">
        <w:rPr>
          <w:b/>
        </w:rPr>
        <w:t>. </w:t>
      </w:r>
      <w:r w:rsidRPr="002375A7">
        <w:rPr>
          <w:b/>
        </w:rPr>
        <w:t>Системы охранно-пожарной сигнализации</w:t>
      </w:r>
    </w:p>
    <w:p w:rsidR="002A1AF4" w:rsidRPr="002375A7" w:rsidRDefault="002A1AF4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sz w:val="24"/>
          <w:szCs w:val="24"/>
        </w:rPr>
        <w:t>Система охранно-пожарной</w:t>
      </w:r>
      <w:r w:rsidR="0019771E" w:rsidRPr="002375A7">
        <w:rPr>
          <w:rFonts w:ascii="Times New Roman" w:hAnsi="Times New Roman"/>
          <w:b/>
          <w:sz w:val="24"/>
          <w:szCs w:val="24"/>
        </w:rPr>
        <w:t> (тревожной)</w:t>
      </w:r>
      <w:r w:rsidRPr="002375A7">
        <w:rPr>
          <w:rFonts w:ascii="Times New Roman" w:hAnsi="Times New Roman"/>
          <w:b/>
          <w:sz w:val="24"/>
          <w:szCs w:val="24"/>
        </w:rPr>
        <w:t xml:space="preserve"> сигнализации</w:t>
      </w:r>
      <w:r w:rsidRPr="002375A7">
        <w:rPr>
          <w:rFonts w:ascii="Times New Roman" w:hAnsi="Times New Roman"/>
          <w:sz w:val="24"/>
          <w:szCs w:val="24"/>
        </w:rPr>
        <w:t xml:space="preserve"> - совокупность совместно действующих технических средств охраны, предназначенных для обнаружения и (или) сигнализации о наличии опасности (рисунок 4.5).</w:t>
      </w:r>
    </w:p>
    <w:p w:rsidR="002A1AF4" w:rsidRPr="002375A7" w:rsidRDefault="002A1AF4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38"/>
      </w:tblGrid>
      <w:tr w:rsidR="006772B2" w:rsidRPr="002375A7">
        <w:tblPrEx>
          <w:tblCellMar>
            <w:top w:w="0" w:type="dxa"/>
            <w:bottom w:w="0" w:type="dxa"/>
          </w:tblCellMar>
        </w:tblPrEx>
        <w:tc>
          <w:tcPr>
            <w:tcW w:w="9631" w:type="dxa"/>
          </w:tcPr>
          <w:p w:rsidR="006772B2" w:rsidRPr="002375A7" w:rsidRDefault="002375A7" w:rsidP="002375A7">
            <w:pPr>
              <w:pStyle w:val="a3"/>
              <w:spacing w:line="240" w:lineRule="auto"/>
              <w:ind w:left="-57" w:right="-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6118860" cy="1325880"/>
                  <wp:effectExtent l="0" t="0" r="0" b="7620"/>
                  <wp:docPr id="1" name="Рисунок 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72B2" w:rsidRPr="002375A7" w:rsidRDefault="006772B2" w:rsidP="002375A7">
            <w:pPr>
              <w:pStyle w:val="a3"/>
              <w:spacing w:line="240" w:lineRule="auto"/>
              <w:ind w:left="-57" w:right="-57"/>
              <w:jc w:val="center"/>
              <w:rPr>
                <w:sz w:val="24"/>
              </w:rPr>
            </w:pPr>
            <w:r w:rsidRPr="002375A7">
              <w:rPr>
                <w:sz w:val="24"/>
              </w:rPr>
              <w:t>Рисунок 4.</w:t>
            </w:r>
            <w:r w:rsidR="00FD5F9E" w:rsidRPr="002375A7">
              <w:rPr>
                <w:sz w:val="24"/>
              </w:rPr>
              <w:t>5</w:t>
            </w:r>
            <w:r w:rsidRPr="002375A7">
              <w:rPr>
                <w:sz w:val="24"/>
              </w:rPr>
              <w:t xml:space="preserve">. – Структурная схема системы </w:t>
            </w:r>
            <w:r w:rsidR="002A1AF4" w:rsidRPr="002375A7">
              <w:rPr>
                <w:sz w:val="24"/>
              </w:rPr>
              <w:t>охранно-</w:t>
            </w:r>
            <w:r w:rsidRPr="002375A7">
              <w:rPr>
                <w:sz w:val="24"/>
              </w:rPr>
              <w:t>пожарной сигнализации</w:t>
            </w:r>
          </w:p>
        </w:tc>
      </w:tr>
    </w:tbl>
    <w:p w:rsidR="006772B2" w:rsidRPr="002375A7" w:rsidRDefault="006772B2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3200EA" w:rsidRPr="002375A7" w:rsidRDefault="002A1AF4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sz w:val="24"/>
          <w:szCs w:val="24"/>
        </w:rPr>
        <w:t>И</w:t>
      </w:r>
      <w:r w:rsidR="003200EA" w:rsidRPr="002375A7">
        <w:rPr>
          <w:rFonts w:ascii="Times New Roman" w:hAnsi="Times New Roman"/>
          <w:b/>
          <w:sz w:val="24"/>
          <w:szCs w:val="24"/>
        </w:rPr>
        <w:t>звещатели</w:t>
      </w:r>
      <w:r w:rsidR="003200EA" w:rsidRPr="002375A7">
        <w:rPr>
          <w:rFonts w:ascii="Times New Roman" w:hAnsi="Times New Roman"/>
          <w:sz w:val="24"/>
          <w:szCs w:val="24"/>
        </w:rPr>
        <w:t xml:space="preserve"> — устройства, как для ручной подачи сигнала «</w:t>
      </w:r>
      <w:r w:rsidRPr="002375A7">
        <w:rPr>
          <w:rFonts w:ascii="Times New Roman" w:hAnsi="Times New Roman"/>
          <w:sz w:val="24"/>
          <w:szCs w:val="24"/>
        </w:rPr>
        <w:t>тревога</w:t>
      </w:r>
      <w:r w:rsidR="003200EA" w:rsidRPr="002375A7">
        <w:rPr>
          <w:rFonts w:ascii="Times New Roman" w:hAnsi="Times New Roman"/>
          <w:sz w:val="24"/>
          <w:szCs w:val="24"/>
        </w:rPr>
        <w:t xml:space="preserve">», так и автоматически реагирующие на появление </w:t>
      </w:r>
      <w:r w:rsidRPr="002375A7">
        <w:rPr>
          <w:rFonts w:ascii="Times New Roman" w:hAnsi="Times New Roman"/>
          <w:sz w:val="24"/>
          <w:szCs w:val="24"/>
        </w:rPr>
        <w:t xml:space="preserve">тревожных </w:t>
      </w:r>
      <w:r w:rsidR="003200EA" w:rsidRPr="002375A7">
        <w:rPr>
          <w:rFonts w:ascii="Times New Roman" w:hAnsi="Times New Roman"/>
          <w:sz w:val="24"/>
          <w:szCs w:val="24"/>
        </w:rPr>
        <w:t>факторов</w:t>
      </w:r>
      <w:r w:rsidRPr="002375A7">
        <w:rPr>
          <w:rFonts w:ascii="Times New Roman" w:hAnsi="Times New Roman"/>
          <w:sz w:val="24"/>
          <w:szCs w:val="24"/>
        </w:rPr>
        <w:t>;</w:t>
      </w:r>
    </w:p>
    <w:p w:rsidR="003200EA" w:rsidRPr="002375A7" w:rsidRDefault="003200EA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sz w:val="24"/>
          <w:szCs w:val="24"/>
        </w:rPr>
        <w:t>Приемно-контрольный прибор (ПКП)</w:t>
      </w:r>
      <w:r w:rsidRPr="002375A7">
        <w:rPr>
          <w:rFonts w:ascii="Times New Roman" w:hAnsi="Times New Roman"/>
          <w:sz w:val="24"/>
          <w:szCs w:val="24"/>
        </w:rPr>
        <w:t xml:space="preserve"> – прием сигнала </w:t>
      </w:r>
      <w:r w:rsidR="000D270F" w:rsidRPr="002375A7">
        <w:rPr>
          <w:rFonts w:ascii="Times New Roman" w:hAnsi="Times New Roman"/>
          <w:sz w:val="24"/>
          <w:szCs w:val="24"/>
        </w:rPr>
        <w:t>тревоги</w:t>
      </w:r>
      <w:r w:rsidRPr="002375A7">
        <w:rPr>
          <w:rFonts w:ascii="Times New Roman" w:hAnsi="Times New Roman"/>
          <w:sz w:val="24"/>
          <w:szCs w:val="24"/>
        </w:rPr>
        <w:t xml:space="preserve"> от извещателей и трансляция его в </w:t>
      </w:r>
      <w:r w:rsidR="000D270F" w:rsidRPr="002375A7">
        <w:rPr>
          <w:rFonts w:ascii="Times New Roman" w:hAnsi="Times New Roman"/>
          <w:sz w:val="24"/>
          <w:szCs w:val="24"/>
        </w:rPr>
        <w:t>соответствующую службу безопасности (пожарная охрана, Департамент охраны МВД)</w:t>
      </w:r>
      <w:r w:rsidRPr="002375A7">
        <w:rPr>
          <w:rFonts w:ascii="Times New Roman" w:hAnsi="Times New Roman"/>
          <w:sz w:val="24"/>
          <w:szCs w:val="24"/>
        </w:rPr>
        <w:t>, индикация номера объекта от которого принят сигнал и управление исполнительными устройствами;</w:t>
      </w:r>
    </w:p>
    <w:p w:rsidR="003200EA" w:rsidRPr="002375A7" w:rsidRDefault="003200EA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sz w:val="24"/>
          <w:szCs w:val="24"/>
        </w:rPr>
        <w:t>Исполнительные устройства</w:t>
      </w:r>
      <w:r w:rsidRPr="002375A7">
        <w:rPr>
          <w:rFonts w:ascii="Times New Roman" w:hAnsi="Times New Roman"/>
          <w:sz w:val="24"/>
          <w:szCs w:val="24"/>
        </w:rPr>
        <w:t xml:space="preserve"> – оповещение о </w:t>
      </w:r>
      <w:r w:rsidR="000D270F" w:rsidRPr="002375A7">
        <w:rPr>
          <w:rFonts w:ascii="Times New Roman" w:hAnsi="Times New Roman"/>
          <w:sz w:val="24"/>
          <w:szCs w:val="24"/>
        </w:rPr>
        <w:t>тревоге</w:t>
      </w:r>
      <w:r w:rsidRPr="002375A7">
        <w:rPr>
          <w:rFonts w:ascii="Times New Roman" w:hAnsi="Times New Roman"/>
          <w:sz w:val="24"/>
          <w:szCs w:val="24"/>
        </w:rPr>
        <w:t xml:space="preserve"> и</w:t>
      </w:r>
      <w:r w:rsidR="000D270F" w:rsidRPr="002375A7">
        <w:rPr>
          <w:rFonts w:ascii="Times New Roman" w:hAnsi="Times New Roman"/>
          <w:sz w:val="24"/>
          <w:szCs w:val="24"/>
        </w:rPr>
        <w:t xml:space="preserve"> ее ликвидация</w:t>
      </w:r>
      <w:r w:rsidRPr="002375A7">
        <w:rPr>
          <w:rFonts w:ascii="Times New Roman" w:hAnsi="Times New Roman"/>
          <w:sz w:val="24"/>
          <w:szCs w:val="24"/>
        </w:rPr>
        <w:t>.</w:t>
      </w:r>
    </w:p>
    <w:p w:rsidR="003200EA" w:rsidRPr="002375A7" w:rsidRDefault="003200EA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sz w:val="24"/>
          <w:szCs w:val="24"/>
        </w:rPr>
        <w:t>Система электропитания</w:t>
      </w:r>
      <w:r w:rsidRPr="002375A7">
        <w:rPr>
          <w:rFonts w:ascii="Times New Roman" w:hAnsi="Times New Roman"/>
          <w:sz w:val="24"/>
          <w:szCs w:val="24"/>
        </w:rPr>
        <w:t xml:space="preserve"> – бесперебойное электропитание устройств входящих в систему сигнализации.</w:t>
      </w:r>
    </w:p>
    <w:p w:rsidR="00805E06" w:rsidRPr="002375A7" w:rsidRDefault="00DA233F" w:rsidP="002375A7">
      <w:pPr>
        <w:pStyle w:val="21"/>
        <w:spacing w:line="240" w:lineRule="auto"/>
        <w:ind w:left="-57" w:right="-57" w:firstLine="180"/>
        <w:jc w:val="center"/>
        <w:rPr>
          <w:rFonts w:ascii="Times New Roman" w:hAnsi="Times New Roman"/>
          <w:b/>
          <w:sz w:val="24"/>
          <w:szCs w:val="24"/>
        </w:rPr>
      </w:pPr>
      <w:r w:rsidRPr="002375A7">
        <w:rPr>
          <w:rFonts w:ascii="Times New Roman" w:hAnsi="Times New Roman"/>
          <w:b/>
          <w:sz w:val="24"/>
          <w:szCs w:val="24"/>
        </w:rPr>
        <w:t>Средства обнаружения</w:t>
      </w:r>
      <w:r w:rsidR="00E02DB1" w:rsidRPr="002375A7">
        <w:rPr>
          <w:rFonts w:ascii="Times New Roman" w:hAnsi="Times New Roman"/>
          <w:b/>
          <w:sz w:val="24"/>
          <w:szCs w:val="24"/>
        </w:rPr>
        <w:t> (извещатели)</w:t>
      </w:r>
    </w:p>
    <w:p w:rsidR="00B50914" w:rsidRPr="002375A7" w:rsidRDefault="00B50914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радиоволновые и радиолучевые средства обнаружения - позволяют оборудовать скрытые или маскируемые рубежи охраняемого периметра объекта;</w:t>
      </w:r>
    </w:p>
    <w:p w:rsidR="00A53D94" w:rsidRPr="002375A7" w:rsidRDefault="00A53D94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оптические средства обнаружения - используются для блокирования объемов помещений, проходов, коридоров, периметров;</w:t>
      </w:r>
    </w:p>
    <w:p w:rsidR="00992C38" w:rsidRPr="002375A7" w:rsidRDefault="00992C38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сейсмические средства обнаружения - регистрируют и обрабатывают сигналы, возникающие в результате колебаний подстилающей поверхности (грунт) при пересечении человеком охраняемой зоны. Предназначены для блокирования участков протяженных рубежей периметров объектов;</w:t>
      </w:r>
    </w:p>
    <w:p w:rsidR="004B78F9" w:rsidRPr="002375A7" w:rsidRDefault="004B78F9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м</w:t>
      </w:r>
      <w:r w:rsidR="00DA233F" w:rsidRPr="002375A7">
        <w:rPr>
          <w:rFonts w:ascii="Times New Roman" w:hAnsi="Times New Roman"/>
          <w:sz w:val="24"/>
          <w:szCs w:val="24"/>
        </w:rPr>
        <w:t xml:space="preserve">агнитометрические средства обнаружения - </w:t>
      </w:r>
      <w:r w:rsidRPr="002375A7">
        <w:rPr>
          <w:rFonts w:ascii="Times New Roman" w:hAnsi="Times New Roman"/>
          <w:sz w:val="24"/>
          <w:szCs w:val="24"/>
        </w:rPr>
        <w:t>предназначены для регистрации факта проноса в их зоне обнаружения предметов, выполненных из металлов или их сплавов, а так же других материалов.</w:t>
      </w:r>
    </w:p>
    <w:p w:rsidR="0056108B" w:rsidRPr="002375A7" w:rsidRDefault="0056108B" w:rsidP="002375A7">
      <w:pPr>
        <w:pStyle w:val="21"/>
        <w:spacing w:line="240" w:lineRule="auto"/>
        <w:ind w:left="-57" w:right="-57" w:firstLine="180"/>
        <w:jc w:val="center"/>
        <w:rPr>
          <w:rFonts w:ascii="Times New Roman" w:hAnsi="Times New Roman"/>
          <w:b/>
          <w:sz w:val="24"/>
          <w:szCs w:val="24"/>
        </w:rPr>
      </w:pPr>
      <w:r w:rsidRPr="002375A7">
        <w:rPr>
          <w:rFonts w:ascii="Times New Roman" w:hAnsi="Times New Roman"/>
          <w:b/>
          <w:sz w:val="24"/>
          <w:szCs w:val="24"/>
        </w:rPr>
        <w:t>Пожарные извещатели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пороговые (безадресные), которые настроены изготовителем на опред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ленное значение контролируемого параметра, при достижении которого изв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щатель передает в приемно-контрольный прибор (ПКП) сигнал «ПОЖАР» путем замыкания контактов св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его реле;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пороговые (адресные). Имеют один или несколько встроенных порогов срабатывания и индивидуальный адрес в системе;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адресно-аналоговые. Регистрируют и передают в ПКП текущее значение контр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лируемого параметра и свой индивидуальный адрес.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Для обнаружения возгорания используются следующие принципы акт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вации пожарных извещателей: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концентрация в воздухе частиц дыма;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температура окружающей среды;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излучение открытого пламени.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Для обнаружения возгорания могут использоваться следующие основные пожарные извещатели: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i/>
          <w:sz w:val="24"/>
          <w:szCs w:val="24"/>
        </w:rPr>
        <w:t>Ручные извещатели</w:t>
      </w:r>
      <w:r w:rsidRPr="002375A7">
        <w:rPr>
          <w:rFonts w:ascii="Times New Roman" w:hAnsi="Times New Roman"/>
          <w:sz w:val="24"/>
          <w:szCs w:val="24"/>
        </w:rPr>
        <w:t xml:space="preserve"> необходимы для принудительного перевода челов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ком системы в режим сигнализации о пожаре (рис</w:t>
      </w:r>
      <w:r w:rsidR="0095555B" w:rsidRPr="002375A7">
        <w:rPr>
          <w:rFonts w:ascii="Times New Roman" w:hAnsi="Times New Roman"/>
          <w:sz w:val="24"/>
          <w:szCs w:val="24"/>
        </w:rPr>
        <w:t>унок</w:t>
      </w:r>
      <w:r w:rsidRPr="002375A7">
        <w:rPr>
          <w:rFonts w:ascii="Times New Roman" w:hAnsi="Times New Roman"/>
          <w:sz w:val="24"/>
          <w:szCs w:val="24"/>
        </w:rPr>
        <w:t> </w:t>
      </w:r>
      <w:r w:rsidR="0095555B" w:rsidRPr="002375A7">
        <w:rPr>
          <w:rFonts w:ascii="Times New Roman" w:hAnsi="Times New Roman"/>
          <w:sz w:val="24"/>
          <w:szCs w:val="24"/>
        </w:rPr>
        <w:t>4.</w:t>
      </w:r>
      <w:r w:rsidR="00471A51" w:rsidRPr="002375A7">
        <w:rPr>
          <w:rFonts w:ascii="Times New Roman" w:hAnsi="Times New Roman"/>
          <w:sz w:val="24"/>
          <w:szCs w:val="24"/>
        </w:rPr>
        <w:t>6</w:t>
      </w:r>
      <w:r w:rsidRPr="002375A7">
        <w:rPr>
          <w:rFonts w:ascii="Times New Roman" w:hAnsi="Times New Roman"/>
          <w:sz w:val="24"/>
          <w:szCs w:val="24"/>
        </w:rPr>
        <w:t>). Они могут быть реализ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 xml:space="preserve">ваны в виде рычагов или </w:t>
      </w:r>
      <w:r w:rsidRPr="002375A7">
        <w:rPr>
          <w:rFonts w:ascii="Times New Roman" w:hAnsi="Times New Roman"/>
          <w:sz w:val="24"/>
          <w:szCs w:val="24"/>
        </w:rPr>
        <w:lastRenderedPageBreak/>
        <w:t>кнопок, покрытых прозрачными материалами (легко разб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ваемыми при пожаре). Чаще всего они устанавливаются в легкодоступных ме</w:t>
      </w:r>
      <w:r w:rsidRPr="002375A7">
        <w:rPr>
          <w:rFonts w:ascii="Times New Roman" w:hAnsi="Times New Roman"/>
          <w:sz w:val="24"/>
          <w:szCs w:val="24"/>
        </w:rPr>
        <w:t>с</w:t>
      </w:r>
      <w:r w:rsidRPr="002375A7">
        <w:rPr>
          <w:rFonts w:ascii="Times New Roman" w:hAnsi="Times New Roman"/>
          <w:sz w:val="24"/>
          <w:szCs w:val="24"/>
        </w:rPr>
        <w:t>тах общего пользования.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i/>
          <w:sz w:val="24"/>
          <w:szCs w:val="24"/>
        </w:rPr>
        <w:t>Тепловые извещатели</w:t>
      </w:r>
      <w:r w:rsidRPr="002375A7">
        <w:rPr>
          <w:rFonts w:ascii="Times New Roman" w:hAnsi="Times New Roman"/>
          <w:sz w:val="24"/>
          <w:szCs w:val="24"/>
        </w:rPr>
        <w:t xml:space="preserve"> реагируют на изменение температуры окружа</w:t>
      </w:r>
      <w:r w:rsidRPr="002375A7">
        <w:rPr>
          <w:rFonts w:ascii="Times New Roman" w:hAnsi="Times New Roman"/>
          <w:sz w:val="24"/>
          <w:szCs w:val="24"/>
        </w:rPr>
        <w:t>ю</w:t>
      </w:r>
      <w:r w:rsidRPr="002375A7">
        <w:rPr>
          <w:rFonts w:ascii="Times New Roman" w:hAnsi="Times New Roman"/>
          <w:sz w:val="24"/>
          <w:szCs w:val="24"/>
        </w:rPr>
        <w:t>щей среды (рисунок 4.</w:t>
      </w:r>
      <w:r w:rsidR="00471A51" w:rsidRPr="002375A7">
        <w:rPr>
          <w:rFonts w:ascii="Times New Roman" w:hAnsi="Times New Roman"/>
          <w:sz w:val="24"/>
          <w:szCs w:val="24"/>
        </w:rPr>
        <w:t>7</w:t>
      </w:r>
      <w:r w:rsidRPr="002375A7">
        <w:rPr>
          <w:rFonts w:ascii="Times New Roman" w:hAnsi="Times New Roman"/>
          <w:sz w:val="24"/>
          <w:szCs w:val="24"/>
        </w:rPr>
        <w:t xml:space="preserve">). Тепловые пороговые пожарные извещатели выдают сигнал «пожар» при достижении пороговой температуры, </w:t>
      </w:r>
      <w:r w:rsidRPr="002375A7">
        <w:rPr>
          <w:rFonts w:ascii="Times New Roman" w:hAnsi="Times New Roman"/>
          <w:b/>
          <w:i/>
          <w:sz w:val="24"/>
          <w:szCs w:val="24"/>
        </w:rPr>
        <w:t>дифференциальные</w:t>
      </w:r>
      <w:r w:rsidRPr="002375A7">
        <w:rPr>
          <w:rFonts w:ascii="Times New Roman" w:hAnsi="Times New Roman"/>
          <w:sz w:val="24"/>
          <w:szCs w:val="24"/>
        </w:rPr>
        <w:t xml:space="preserve"> – фиксируют пожароопасную ситу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цию по скорости нарастания температуры.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56108B" w:rsidRPr="002375A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118360" cy="2118360"/>
                  <wp:effectExtent l="0" t="0" r="0" b="0"/>
                  <wp:docPr id="2" name="Рисунок 2" descr="pogar-zn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gar-zn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Рис</w:t>
            </w:r>
            <w:r w:rsidR="0095555B" w:rsidRPr="002375A7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 </w:t>
            </w:r>
            <w:r w:rsidR="0095555B" w:rsidRPr="002375A7">
              <w:rPr>
                <w:rFonts w:ascii="Times New Roman" w:hAnsi="Times New Roman"/>
                <w:sz w:val="24"/>
                <w:szCs w:val="24"/>
              </w:rPr>
              <w:t>4.</w:t>
            </w:r>
            <w:r w:rsidR="00471A51" w:rsidRPr="002375A7">
              <w:rPr>
                <w:rFonts w:ascii="Times New Roman" w:hAnsi="Times New Roman"/>
                <w:sz w:val="24"/>
                <w:szCs w:val="24"/>
              </w:rPr>
              <w:t>6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.</w:t>
            </w:r>
            <w:r w:rsidR="0095555B" w:rsidRPr="002375A7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 xml:space="preserve"> Внешний вид ручного извещателя ИПР-Р</w:t>
            </w:r>
          </w:p>
        </w:tc>
      </w:tr>
    </w:tbl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56108B" w:rsidRPr="002375A7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493520" cy="1676400"/>
                  <wp:effectExtent l="0" t="0" r="0" b="0"/>
                  <wp:docPr id="3" name="Рисунок 3" descr="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263140" cy="1706880"/>
                  <wp:effectExtent l="0" t="0" r="3810" b="7620"/>
                  <wp:docPr id="4" name="Рисунок 4" descr="mak-dm-isp-01__or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k-dm-isp-01__or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</w:tr>
      <w:tr w:rsidR="0056108B" w:rsidRPr="002375A7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Рис</w:t>
            </w:r>
            <w:r w:rsidR="0095555B" w:rsidRPr="002375A7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 </w:t>
            </w:r>
            <w:r w:rsidR="0095555B" w:rsidRPr="002375A7">
              <w:rPr>
                <w:rFonts w:ascii="Times New Roman" w:hAnsi="Times New Roman"/>
                <w:sz w:val="24"/>
                <w:szCs w:val="24"/>
              </w:rPr>
              <w:t>4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.</w:t>
            </w:r>
            <w:r w:rsidR="00471A51" w:rsidRPr="002375A7">
              <w:rPr>
                <w:rFonts w:ascii="Times New Roman" w:hAnsi="Times New Roman"/>
                <w:sz w:val="24"/>
                <w:szCs w:val="24"/>
              </w:rPr>
              <w:t>7</w:t>
            </w:r>
            <w:r w:rsidR="0095555B" w:rsidRPr="002375A7">
              <w:rPr>
                <w:rFonts w:ascii="Times New Roman" w:hAnsi="Times New Roman"/>
                <w:sz w:val="24"/>
                <w:szCs w:val="24"/>
              </w:rPr>
              <w:t>. -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 xml:space="preserve"> Внешний вид теплового извещателя ИП103-4/1 (а)</w:t>
            </w:r>
            <w:r w:rsidRPr="002375A7">
              <w:rPr>
                <w:rFonts w:ascii="Times New Roman" w:hAnsi="Times New Roman"/>
                <w:sz w:val="24"/>
                <w:szCs w:val="24"/>
              </w:rPr>
              <w:br/>
              <w:t>и ди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ф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ференциального теплового извещателя МАК-ДМ (б)</w:t>
            </w:r>
          </w:p>
        </w:tc>
      </w:tr>
    </w:tbl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Тепловые извещатели устанавливаются в следующих случаях: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в контролируемом объеме применяемые материалы таковы, что при горении они, дают больше жара, чем дыма (например, облицовка стен деревя</w:t>
      </w:r>
      <w:r w:rsidRPr="002375A7">
        <w:rPr>
          <w:rFonts w:ascii="Times New Roman" w:hAnsi="Times New Roman"/>
          <w:sz w:val="24"/>
          <w:szCs w:val="24"/>
        </w:rPr>
        <w:t>н</w:t>
      </w:r>
      <w:r w:rsidRPr="002375A7">
        <w:rPr>
          <w:rFonts w:ascii="Times New Roman" w:hAnsi="Times New Roman"/>
          <w:sz w:val="24"/>
          <w:szCs w:val="24"/>
        </w:rPr>
        <w:t>ными панелями);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когда распространение дыма затруднено вследствие либо малого объема помещения (например, за подвесными потолками), либо внешних усл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вий (низкая температура, большая влажность воздуха);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когда в воздухе присутствует высокая концентрация каких-либо аэр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зольных частиц, не имеющих отношение к процессам горения (пыль, копоть, мука и т.д.).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Контактный пороговый тепловой извещатель выдает тревожный сигнал при превышении заранее заданной предельно допустимой температуры. При нагревании расплавляется контактная пластина, электрическая цепь разрывае</w:t>
      </w:r>
      <w:r w:rsidRPr="002375A7">
        <w:rPr>
          <w:rFonts w:ascii="Times New Roman" w:hAnsi="Times New Roman"/>
          <w:sz w:val="24"/>
          <w:szCs w:val="24"/>
        </w:rPr>
        <w:t>т</w:t>
      </w:r>
      <w:r w:rsidRPr="002375A7">
        <w:rPr>
          <w:rFonts w:ascii="Times New Roman" w:hAnsi="Times New Roman"/>
          <w:sz w:val="24"/>
          <w:szCs w:val="24"/>
        </w:rPr>
        <w:t>ся и вырабатывается тревожный сигнал. Обычно пороговая температура с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ставляет 75 °C (рис</w:t>
      </w:r>
      <w:r w:rsidR="009E44F7" w:rsidRPr="002375A7">
        <w:rPr>
          <w:rFonts w:ascii="Times New Roman" w:hAnsi="Times New Roman"/>
          <w:sz w:val="24"/>
          <w:szCs w:val="24"/>
        </w:rPr>
        <w:t>унок</w:t>
      </w:r>
      <w:r w:rsidRPr="002375A7">
        <w:rPr>
          <w:rFonts w:ascii="Times New Roman" w:hAnsi="Times New Roman"/>
          <w:sz w:val="24"/>
          <w:szCs w:val="24"/>
        </w:rPr>
        <w:t> </w:t>
      </w:r>
      <w:r w:rsidR="009E44F7" w:rsidRPr="002375A7">
        <w:rPr>
          <w:rFonts w:ascii="Times New Roman" w:hAnsi="Times New Roman"/>
          <w:sz w:val="24"/>
          <w:szCs w:val="24"/>
        </w:rPr>
        <w:t>4.</w:t>
      </w:r>
      <w:r w:rsidR="00471A51" w:rsidRPr="002375A7">
        <w:rPr>
          <w:rFonts w:ascii="Times New Roman" w:hAnsi="Times New Roman"/>
          <w:sz w:val="24"/>
          <w:szCs w:val="24"/>
        </w:rPr>
        <w:t>7</w:t>
      </w:r>
      <w:r w:rsidRPr="002375A7">
        <w:rPr>
          <w:rFonts w:ascii="Times New Roman" w:hAnsi="Times New Roman"/>
          <w:sz w:val="24"/>
          <w:szCs w:val="24"/>
        </w:rPr>
        <w:t> а).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В качестве чувствительного элемента может применяться и полупрово</w:t>
      </w:r>
      <w:r w:rsidRPr="002375A7">
        <w:rPr>
          <w:rFonts w:ascii="Times New Roman" w:hAnsi="Times New Roman"/>
          <w:sz w:val="24"/>
          <w:szCs w:val="24"/>
        </w:rPr>
        <w:t>д</w:t>
      </w:r>
      <w:r w:rsidRPr="002375A7">
        <w:rPr>
          <w:rFonts w:ascii="Times New Roman" w:hAnsi="Times New Roman"/>
          <w:sz w:val="24"/>
          <w:szCs w:val="24"/>
        </w:rPr>
        <w:t>никовый прибор. При росте температуры сопротивление цепи падает, и сила тока в ней увеличивается. При превышении пороговой величины электрическ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го тока вырабатывается тревожный сигнал. Полупроводниковые чувствител</w:t>
      </w:r>
      <w:r w:rsidRPr="002375A7">
        <w:rPr>
          <w:rFonts w:ascii="Times New Roman" w:hAnsi="Times New Roman"/>
          <w:sz w:val="24"/>
          <w:szCs w:val="24"/>
        </w:rPr>
        <w:t>ь</w:t>
      </w:r>
      <w:r w:rsidRPr="002375A7">
        <w:rPr>
          <w:rFonts w:ascii="Times New Roman" w:hAnsi="Times New Roman"/>
          <w:sz w:val="24"/>
          <w:szCs w:val="24"/>
        </w:rPr>
        <w:t>ные элементы имеют более высокую скорость реагирования, величина пороговой те</w:t>
      </w:r>
      <w:r w:rsidRPr="002375A7">
        <w:rPr>
          <w:rFonts w:ascii="Times New Roman" w:hAnsi="Times New Roman"/>
          <w:sz w:val="24"/>
          <w:szCs w:val="24"/>
        </w:rPr>
        <w:t>м</w:t>
      </w:r>
      <w:r w:rsidRPr="002375A7">
        <w:rPr>
          <w:rFonts w:ascii="Times New Roman" w:hAnsi="Times New Roman"/>
          <w:sz w:val="24"/>
          <w:szCs w:val="24"/>
        </w:rPr>
        <w:t>пературы может быть задана произвольно, а при срабатывании датчика не происх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дит разрушения прибора.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lastRenderedPageBreak/>
        <w:t>Дифференциальные тепловые извещатели обычно состоят из двух терм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элементов, один из которых располагается внутри корпуса извещателя, а вт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рой помещен снаружи (рис</w:t>
      </w:r>
      <w:r w:rsidR="009E44F7" w:rsidRPr="002375A7">
        <w:rPr>
          <w:rFonts w:ascii="Times New Roman" w:hAnsi="Times New Roman"/>
          <w:sz w:val="24"/>
          <w:szCs w:val="24"/>
        </w:rPr>
        <w:t>унок</w:t>
      </w:r>
      <w:r w:rsidRPr="002375A7">
        <w:rPr>
          <w:rFonts w:ascii="Times New Roman" w:hAnsi="Times New Roman"/>
          <w:sz w:val="24"/>
          <w:szCs w:val="24"/>
        </w:rPr>
        <w:t> </w:t>
      </w:r>
      <w:r w:rsidR="009E44F7" w:rsidRPr="002375A7">
        <w:rPr>
          <w:rFonts w:ascii="Times New Roman" w:hAnsi="Times New Roman"/>
          <w:sz w:val="24"/>
          <w:szCs w:val="24"/>
        </w:rPr>
        <w:t>4.</w:t>
      </w:r>
      <w:r w:rsidR="00471A51" w:rsidRPr="002375A7">
        <w:rPr>
          <w:rFonts w:ascii="Times New Roman" w:hAnsi="Times New Roman"/>
          <w:sz w:val="24"/>
          <w:szCs w:val="24"/>
        </w:rPr>
        <w:t>7</w:t>
      </w:r>
      <w:r w:rsidRPr="002375A7">
        <w:rPr>
          <w:rFonts w:ascii="Times New Roman" w:hAnsi="Times New Roman"/>
          <w:sz w:val="24"/>
          <w:szCs w:val="24"/>
        </w:rPr>
        <w:t> б). Токи, протекающие через эти две цепи, под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ются на входы дифференциального усилителя. При увеличении температуры ток, протекающий по наружной цепи, резко изменяется. Во вну</w:t>
      </w:r>
      <w:r w:rsidRPr="002375A7">
        <w:rPr>
          <w:rFonts w:ascii="Times New Roman" w:hAnsi="Times New Roman"/>
          <w:sz w:val="24"/>
          <w:szCs w:val="24"/>
        </w:rPr>
        <w:t>т</w:t>
      </w:r>
      <w:r w:rsidRPr="002375A7">
        <w:rPr>
          <w:rFonts w:ascii="Times New Roman" w:hAnsi="Times New Roman"/>
          <w:sz w:val="24"/>
          <w:szCs w:val="24"/>
        </w:rPr>
        <w:t>ренней цепи он почти не меняется, что приводит к дисбалансу токов и формированию трево</w:t>
      </w:r>
      <w:r w:rsidRPr="002375A7">
        <w:rPr>
          <w:rFonts w:ascii="Times New Roman" w:hAnsi="Times New Roman"/>
          <w:sz w:val="24"/>
          <w:szCs w:val="24"/>
        </w:rPr>
        <w:t>ж</w:t>
      </w:r>
      <w:r w:rsidRPr="002375A7">
        <w:rPr>
          <w:rFonts w:ascii="Times New Roman" w:hAnsi="Times New Roman"/>
          <w:sz w:val="24"/>
          <w:szCs w:val="24"/>
        </w:rPr>
        <w:t>ного сигнала. Использование термопары позволяет исключить влияние плавных темп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ратурных изменений, вызванных естественными причинами. Эти датчики являются наиболее быстрыми по скорости реагирования и устойчивыми в раб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те.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i/>
          <w:sz w:val="24"/>
          <w:szCs w:val="24"/>
        </w:rPr>
        <w:t>Линейные тепловые извещатели.</w:t>
      </w:r>
      <w:r w:rsidRPr="002375A7">
        <w:rPr>
          <w:rFonts w:ascii="Times New Roman" w:hAnsi="Times New Roman"/>
          <w:sz w:val="24"/>
          <w:szCs w:val="24"/>
        </w:rPr>
        <w:t xml:space="preserve"> Конструкция представляет собой четыре медных проводника с оболочками из специального материала с отриц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тельным температурным коэффициентом. Проводники упакованы в общий кожух так, что плотно соприкасаются своими об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лочками. Провода соединяются в конце линии попарно между собой, образуя две петли, соприкасающиеся об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лочками. Принцип действия: при увеличении температуры оболочки изменяют свое сопротивление, изменяя также общее сопротивление между петлями, к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торое и измеряется специальным блоком обработки результатов. По величине этого сопротивления и принимается решение о наличии возгорания. Чем бол</w:t>
      </w:r>
      <w:r w:rsidRPr="002375A7">
        <w:rPr>
          <w:rFonts w:ascii="Times New Roman" w:hAnsi="Times New Roman"/>
          <w:sz w:val="24"/>
          <w:szCs w:val="24"/>
        </w:rPr>
        <w:t>ь</w:t>
      </w:r>
      <w:r w:rsidRPr="002375A7">
        <w:rPr>
          <w:rFonts w:ascii="Times New Roman" w:hAnsi="Times New Roman"/>
          <w:sz w:val="24"/>
          <w:szCs w:val="24"/>
        </w:rPr>
        <w:t>ше длина кабеля (до 1,5 км), тем выше чувствительность прибора.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i/>
          <w:sz w:val="24"/>
          <w:szCs w:val="24"/>
        </w:rPr>
        <w:t>Дымовые извещатели</w:t>
      </w:r>
      <w:r w:rsidRPr="002375A7">
        <w:rPr>
          <w:rFonts w:ascii="Times New Roman" w:hAnsi="Times New Roman"/>
          <w:sz w:val="24"/>
          <w:szCs w:val="24"/>
        </w:rPr>
        <w:t xml:space="preserve"> предназначены для обнаружения наличия зада</w:t>
      </w:r>
      <w:r w:rsidRPr="002375A7">
        <w:rPr>
          <w:rFonts w:ascii="Times New Roman" w:hAnsi="Times New Roman"/>
          <w:sz w:val="24"/>
          <w:szCs w:val="24"/>
        </w:rPr>
        <w:t>н</w:t>
      </w:r>
      <w:r w:rsidRPr="002375A7">
        <w:rPr>
          <w:rFonts w:ascii="Times New Roman" w:hAnsi="Times New Roman"/>
          <w:sz w:val="24"/>
          <w:szCs w:val="24"/>
        </w:rPr>
        <w:t>ной концентрации частиц дыма в воздухе (рис</w:t>
      </w:r>
      <w:r w:rsidR="009E44F7" w:rsidRPr="002375A7">
        <w:rPr>
          <w:rFonts w:ascii="Times New Roman" w:hAnsi="Times New Roman"/>
          <w:sz w:val="24"/>
          <w:szCs w:val="24"/>
        </w:rPr>
        <w:t>унок</w:t>
      </w:r>
      <w:r w:rsidRPr="002375A7">
        <w:rPr>
          <w:rFonts w:ascii="Times New Roman" w:hAnsi="Times New Roman"/>
          <w:sz w:val="24"/>
          <w:szCs w:val="24"/>
        </w:rPr>
        <w:t> </w:t>
      </w:r>
      <w:r w:rsidR="009E44F7" w:rsidRPr="002375A7">
        <w:rPr>
          <w:rFonts w:ascii="Times New Roman" w:hAnsi="Times New Roman"/>
          <w:sz w:val="24"/>
          <w:szCs w:val="24"/>
        </w:rPr>
        <w:t>4.</w:t>
      </w:r>
      <w:r w:rsidR="00471A51" w:rsidRPr="002375A7">
        <w:rPr>
          <w:rFonts w:ascii="Times New Roman" w:hAnsi="Times New Roman"/>
          <w:sz w:val="24"/>
          <w:szCs w:val="24"/>
        </w:rPr>
        <w:t>8</w:t>
      </w:r>
      <w:r w:rsidRPr="002375A7">
        <w:rPr>
          <w:rFonts w:ascii="Times New Roman" w:hAnsi="Times New Roman"/>
          <w:sz w:val="24"/>
          <w:szCs w:val="24"/>
        </w:rPr>
        <w:t>).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Дым – совокупность аэрозольных частиц, выделяющихся в процессе г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рения различных материалов.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Состав частиц дыма может быть различным и з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висит от химической природы горящего вещества, а концентрация и скорость движения – от распр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деления воздушных потоков в контролируемой зоне. Дымовые пожарные изв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щатели определяют лишь один параметр: концентрацию частиц дыма до определенной скорости их движения (обычно до 10 м/с). Одн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ко, поскольку состав частиц может быть разным, используются оптоэлектронные и ион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зационные пожарные извещатели.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56108B" w:rsidRPr="002375A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569720" cy="1501140"/>
                  <wp:effectExtent l="0" t="0" r="0" b="3810"/>
                  <wp:docPr id="5" name="Рисунок 5" descr="store_apendix_large709_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ore_apendix_large709_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Рис</w:t>
            </w:r>
            <w:r w:rsidR="009E44F7" w:rsidRPr="002375A7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 </w:t>
            </w:r>
            <w:r w:rsidR="009E44F7" w:rsidRPr="002375A7">
              <w:rPr>
                <w:rFonts w:ascii="Times New Roman" w:hAnsi="Times New Roman"/>
                <w:sz w:val="24"/>
                <w:szCs w:val="24"/>
              </w:rPr>
              <w:t>4.</w:t>
            </w:r>
            <w:r w:rsidR="00471A51" w:rsidRPr="002375A7">
              <w:rPr>
                <w:rFonts w:ascii="Times New Roman" w:hAnsi="Times New Roman"/>
                <w:sz w:val="24"/>
                <w:szCs w:val="24"/>
              </w:rPr>
              <w:t>8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.</w:t>
            </w:r>
            <w:r w:rsidR="00FD5F9E" w:rsidRPr="002375A7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 xml:space="preserve"> Внешний вид дымового извещателя ИП-212-88Х (автономный)</w:t>
            </w:r>
          </w:p>
        </w:tc>
      </w:tr>
    </w:tbl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i/>
          <w:sz w:val="24"/>
          <w:szCs w:val="24"/>
        </w:rPr>
        <w:t>Ионизационный дымовой извещатель.</w:t>
      </w:r>
      <w:r w:rsidRPr="002375A7">
        <w:rPr>
          <w:rFonts w:ascii="Times New Roman" w:hAnsi="Times New Roman"/>
          <w:sz w:val="24"/>
          <w:szCs w:val="24"/>
        </w:rPr>
        <w:t xml:space="preserve"> Чувствительная часть извещат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ля состоит из двух камер – измерительной внешней камеры и полугерметичной контрольной камеры внутри (рис</w:t>
      </w:r>
      <w:r w:rsidR="00C0372C" w:rsidRPr="002375A7">
        <w:rPr>
          <w:rFonts w:ascii="Times New Roman" w:hAnsi="Times New Roman"/>
          <w:sz w:val="24"/>
          <w:szCs w:val="24"/>
        </w:rPr>
        <w:t>унок</w:t>
      </w:r>
      <w:r w:rsidRPr="002375A7">
        <w:rPr>
          <w:rFonts w:ascii="Times New Roman" w:hAnsi="Times New Roman"/>
          <w:sz w:val="24"/>
          <w:szCs w:val="24"/>
        </w:rPr>
        <w:t> 4</w:t>
      </w:r>
      <w:r w:rsidR="00C0372C" w:rsidRPr="002375A7">
        <w:rPr>
          <w:rFonts w:ascii="Times New Roman" w:hAnsi="Times New Roman"/>
          <w:sz w:val="24"/>
          <w:szCs w:val="24"/>
        </w:rPr>
        <w:t>.</w:t>
      </w:r>
      <w:r w:rsidR="00471A51" w:rsidRPr="002375A7">
        <w:rPr>
          <w:rFonts w:ascii="Times New Roman" w:hAnsi="Times New Roman"/>
          <w:sz w:val="24"/>
          <w:szCs w:val="24"/>
        </w:rPr>
        <w:t>9</w:t>
      </w:r>
      <w:r w:rsidRPr="002375A7">
        <w:rPr>
          <w:rFonts w:ascii="Times New Roman" w:hAnsi="Times New Roman"/>
          <w:sz w:val="24"/>
          <w:szCs w:val="24"/>
        </w:rPr>
        <w:t>). В контрольной камере находится радиоа</w:t>
      </w:r>
      <w:r w:rsidRPr="002375A7">
        <w:rPr>
          <w:rFonts w:ascii="Times New Roman" w:hAnsi="Times New Roman"/>
          <w:sz w:val="24"/>
          <w:szCs w:val="24"/>
        </w:rPr>
        <w:t>к</w:t>
      </w:r>
      <w:r w:rsidRPr="002375A7">
        <w:rPr>
          <w:rFonts w:ascii="Times New Roman" w:hAnsi="Times New Roman"/>
          <w:sz w:val="24"/>
          <w:szCs w:val="24"/>
        </w:rPr>
        <w:t>тивная фольга из америция-241 характеризующейся интенсивностью излучения ниже уровня фона (0,9 мкКюри), благодаря которой, между измерительной и контрольной камерами протекает ток при включении напряжения питания извещ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теля.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Поток радиоактивных частиц направляется в две отдельные камеры: из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лированную от окружающей воздушной среды контрольную и открытую для внешнего воздуха измерительную. При попадании частиц дыма в измерител</w:t>
      </w:r>
      <w:r w:rsidRPr="002375A7">
        <w:rPr>
          <w:rFonts w:ascii="Times New Roman" w:hAnsi="Times New Roman"/>
          <w:sz w:val="24"/>
          <w:szCs w:val="24"/>
        </w:rPr>
        <w:t>ь</w:t>
      </w:r>
      <w:r w:rsidRPr="002375A7">
        <w:rPr>
          <w:rFonts w:ascii="Times New Roman" w:hAnsi="Times New Roman"/>
          <w:sz w:val="24"/>
          <w:szCs w:val="24"/>
        </w:rPr>
        <w:t>ную камеру происходит уменьшение силы тока, протекающего через нее, п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скольку при этом происходит уменьшение длины пробега альфа-частиц и ув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личение рекомбинации ионов. Для принятия решения о наличии дыма, форм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руется разностный сигнал из сигналов, поступающих с измерительной и ко</w:t>
      </w:r>
      <w:r w:rsidRPr="002375A7">
        <w:rPr>
          <w:rFonts w:ascii="Times New Roman" w:hAnsi="Times New Roman"/>
          <w:sz w:val="24"/>
          <w:szCs w:val="24"/>
        </w:rPr>
        <w:t>н</w:t>
      </w:r>
      <w:r w:rsidRPr="002375A7">
        <w:rPr>
          <w:rFonts w:ascii="Times New Roman" w:hAnsi="Times New Roman"/>
          <w:sz w:val="24"/>
          <w:szCs w:val="24"/>
        </w:rPr>
        <w:t>трольной камеры.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Такие пожарные извещатели имеют срок службы не менее 5 лет и треб</w:t>
      </w:r>
      <w:r w:rsidRPr="002375A7">
        <w:rPr>
          <w:rFonts w:ascii="Times New Roman" w:hAnsi="Times New Roman"/>
          <w:sz w:val="24"/>
          <w:szCs w:val="24"/>
        </w:rPr>
        <w:t>у</w:t>
      </w:r>
      <w:r w:rsidRPr="002375A7">
        <w:rPr>
          <w:rFonts w:ascii="Times New Roman" w:hAnsi="Times New Roman"/>
          <w:sz w:val="24"/>
          <w:szCs w:val="24"/>
        </w:rPr>
        <w:t>ют специальной их утилизации.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55"/>
        <w:gridCol w:w="6198"/>
      </w:tblGrid>
      <w:tr w:rsidR="0056108B" w:rsidRPr="002375A7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844040" cy="2689860"/>
                  <wp:effectExtent l="0" t="0" r="3810" b="0"/>
                  <wp:docPr id="6" name="Рисунок 6" descr="neploxov_p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ploxov_pi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3870960" cy="2674620"/>
                  <wp:effectExtent l="0" t="0" r="0" b="0"/>
                  <wp:docPr id="7" name="Рисунок 7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960" cy="267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</w:tr>
      <w:tr w:rsidR="0056108B" w:rsidRPr="002375A7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Рис</w:t>
            </w:r>
            <w:r w:rsidR="00C0372C" w:rsidRPr="002375A7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 4.</w:t>
            </w:r>
            <w:r w:rsidR="00471A51" w:rsidRPr="002375A7">
              <w:rPr>
                <w:rFonts w:ascii="Times New Roman" w:hAnsi="Times New Roman"/>
                <w:sz w:val="24"/>
                <w:szCs w:val="24"/>
              </w:rPr>
              <w:t>9</w:t>
            </w:r>
            <w:r w:rsidR="00C0372C" w:rsidRPr="002375A7">
              <w:rPr>
                <w:rFonts w:ascii="Times New Roman" w:hAnsi="Times New Roman"/>
                <w:sz w:val="24"/>
                <w:szCs w:val="24"/>
              </w:rPr>
              <w:t>. -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 xml:space="preserve"> Конструкция ионизационного</w:t>
            </w:r>
            <w:r w:rsidRPr="002375A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дымового извещателя 1151EIS (а)</w:t>
            </w:r>
            <w:r w:rsidRPr="002375A7">
              <w:rPr>
                <w:rFonts w:ascii="Times New Roman" w:hAnsi="Times New Roman"/>
                <w:sz w:val="24"/>
                <w:szCs w:val="24"/>
              </w:rPr>
              <w:br/>
              <w:t>и при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н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цип его работы (б)</w:t>
            </w:r>
          </w:p>
        </w:tc>
      </w:tr>
    </w:tbl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Ионизационные дымовые извещатели хорошо функционируют в качестве извещателей общего назначения, они с минимальной задержкой регистрируют быстро распространяющиеся (с открытым пламенем) пожары и очень часто используются для защиты им</w:t>
      </w:r>
      <w:r w:rsidRPr="002375A7">
        <w:rPr>
          <w:rFonts w:ascii="Times New Roman" w:hAnsi="Times New Roman"/>
          <w:sz w:val="24"/>
          <w:szCs w:val="24"/>
        </w:rPr>
        <w:t>у</w:t>
      </w:r>
      <w:r w:rsidRPr="002375A7">
        <w:rPr>
          <w:rFonts w:ascii="Times New Roman" w:hAnsi="Times New Roman"/>
          <w:sz w:val="24"/>
          <w:szCs w:val="24"/>
        </w:rPr>
        <w:t>щества.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i/>
          <w:sz w:val="24"/>
          <w:szCs w:val="24"/>
        </w:rPr>
        <w:t xml:space="preserve">Оптический дымовой извещатель. </w:t>
      </w:r>
      <w:r w:rsidRPr="002375A7">
        <w:rPr>
          <w:rFonts w:ascii="Times New Roman" w:hAnsi="Times New Roman"/>
          <w:sz w:val="24"/>
          <w:szCs w:val="24"/>
        </w:rPr>
        <w:t>Их принцип функционирования основан эффекте оптического рассеивания инфракрасного излучения (ИК) ближнего ИК-диапазона на частицах дыма. Измерительная камера такого ус</w:t>
      </w:r>
      <w:r w:rsidRPr="002375A7">
        <w:rPr>
          <w:rFonts w:ascii="Times New Roman" w:hAnsi="Times New Roman"/>
          <w:sz w:val="24"/>
          <w:szCs w:val="24"/>
        </w:rPr>
        <w:t>т</w:t>
      </w:r>
      <w:r w:rsidRPr="002375A7">
        <w:rPr>
          <w:rFonts w:ascii="Times New Roman" w:hAnsi="Times New Roman"/>
          <w:sz w:val="24"/>
          <w:szCs w:val="24"/>
        </w:rPr>
        <w:t>ройства содержит ИК-светодиод и фотоприемник (оптоэлектронную пару), ориентир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ванные друг относительно друга так, чтобы излучение светодиода в нормальных условиях не попадало на фотоприемник (рис</w:t>
      </w:r>
      <w:r w:rsidR="00C0372C" w:rsidRPr="002375A7">
        <w:rPr>
          <w:rFonts w:ascii="Times New Roman" w:hAnsi="Times New Roman"/>
          <w:sz w:val="24"/>
          <w:szCs w:val="24"/>
        </w:rPr>
        <w:t>унок</w:t>
      </w:r>
      <w:r w:rsidRPr="002375A7">
        <w:rPr>
          <w:rFonts w:ascii="Times New Roman" w:hAnsi="Times New Roman"/>
          <w:sz w:val="24"/>
          <w:szCs w:val="24"/>
        </w:rPr>
        <w:t> </w:t>
      </w:r>
      <w:r w:rsidR="00C0372C" w:rsidRPr="002375A7">
        <w:rPr>
          <w:rFonts w:ascii="Times New Roman" w:hAnsi="Times New Roman"/>
          <w:sz w:val="24"/>
          <w:szCs w:val="24"/>
        </w:rPr>
        <w:t>4.</w:t>
      </w:r>
      <w:r w:rsidR="00471A51" w:rsidRPr="002375A7">
        <w:rPr>
          <w:rFonts w:ascii="Times New Roman" w:hAnsi="Times New Roman"/>
          <w:sz w:val="24"/>
          <w:szCs w:val="24"/>
        </w:rPr>
        <w:t>10</w:t>
      </w:r>
      <w:r w:rsidRPr="002375A7">
        <w:rPr>
          <w:rFonts w:ascii="Times New Roman" w:hAnsi="Times New Roman"/>
          <w:sz w:val="24"/>
          <w:szCs w:val="24"/>
        </w:rPr>
        <w:t>). Опт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электронная пара размещается в оптической камере.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При попадании частиц дыма в оптическую камеру на них происходит ра</w:t>
      </w:r>
      <w:r w:rsidRPr="002375A7">
        <w:rPr>
          <w:rFonts w:ascii="Times New Roman" w:hAnsi="Times New Roman"/>
          <w:sz w:val="24"/>
          <w:szCs w:val="24"/>
        </w:rPr>
        <w:t>с</w:t>
      </w:r>
      <w:r w:rsidRPr="002375A7">
        <w:rPr>
          <w:rFonts w:ascii="Times New Roman" w:hAnsi="Times New Roman"/>
          <w:sz w:val="24"/>
          <w:szCs w:val="24"/>
        </w:rPr>
        <w:t>сеивание излучения ИК-светодиода, вследствие чего часть ИК-излучения поп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дает на фотоприемник, что обеспечивает формирование на его выходе электр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ческого сигнала. Чем больше концентрация рассеивающих частиц дыма в воздухе, тем выше уровень сигнала. При превышении определенного порода з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дымления извещатель сигнализирует о наличии возгорания.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36"/>
        <w:gridCol w:w="5811"/>
      </w:tblGrid>
      <w:tr w:rsidR="0056108B" w:rsidRPr="002375A7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2606040" cy="2430780"/>
                  <wp:effectExtent l="0" t="0" r="3810" b="7620"/>
                  <wp:docPr id="8" name="Рисунок 8" descr="1316333899_pozharka-k-a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316333899_pozharka-k-a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3550920" cy="2423160"/>
                  <wp:effectExtent l="0" t="0" r="0" b="0"/>
                  <wp:docPr id="9" name="Рисунок 9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92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б)</w:t>
            </w:r>
          </w:p>
        </w:tc>
      </w:tr>
      <w:tr w:rsidR="0056108B" w:rsidRPr="002375A7">
        <w:tc>
          <w:tcPr>
            <w:tcW w:w="9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Рис</w:t>
            </w:r>
            <w:r w:rsidR="00C0372C" w:rsidRPr="002375A7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 </w:t>
            </w:r>
            <w:r w:rsidR="00C0372C" w:rsidRPr="002375A7">
              <w:rPr>
                <w:rFonts w:ascii="Times New Roman" w:hAnsi="Times New Roman"/>
                <w:sz w:val="24"/>
                <w:szCs w:val="24"/>
              </w:rPr>
              <w:t>4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.</w:t>
            </w:r>
            <w:r w:rsidR="00471A51" w:rsidRPr="002375A7">
              <w:rPr>
                <w:rFonts w:ascii="Times New Roman" w:hAnsi="Times New Roman"/>
                <w:sz w:val="24"/>
                <w:szCs w:val="24"/>
              </w:rPr>
              <w:t>10</w:t>
            </w:r>
            <w:r w:rsidR="00C0372C" w:rsidRPr="002375A7">
              <w:rPr>
                <w:rFonts w:ascii="Times New Roman" w:hAnsi="Times New Roman"/>
                <w:sz w:val="24"/>
                <w:szCs w:val="24"/>
              </w:rPr>
              <w:t>.</w:t>
            </w:r>
            <w:r w:rsidR="00F81908" w:rsidRPr="002375A7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 xml:space="preserve"> Внешний вид оптического дымового извещателя ИП-212-63 (а)</w:t>
            </w:r>
            <w:r w:rsidRPr="002375A7">
              <w:rPr>
                <w:rFonts w:ascii="Times New Roman" w:hAnsi="Times New Roman"/>
                <w:sz w:val="24"/>
                <w:szCs w:val="24"/>
              </w:rPr>
              <w:br/>
            </w:r>
            <w:r w:rsidRPr="002375A7">
              <w:rPr>
                <w:rFonts w:ascii="Times New Roman" w:hAnsi="Times New Roman"/>
                <w:sz w:val="24"/>
                <w:szCs w:val="24"/>
              </w:rPr>
              <w:lastRenderedPageBreak/>
              <w:t>и при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н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цип его работы (б)</w:t>
            </w:r>
          </w:p>
        </w:tc>
      </w:tr>
    </w:tbl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Извещение “ПОЖАР” формируется по ослаблению ИК-излучения свет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диода дымом. Такого типа извещатели используются когда необходимо мин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мальным количеством извещателей перекрыть большие по площади пространства помещений или при высоких потолках контролируемого помещ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ния (выше 3,5 м), когда время достижения дымом других извещателей велико.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Пожарные извещатели применяются в составе систем пожарной сигнал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зации и используются совместно с приемно-контрольными приборами.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bCs/>
          <w:sz w:val="24"/>
          <w:szCs w:val="24"/>
        </w:rPr>
        <w:t>Приёмные устройства пожарной сигнализации</w:t>
      </w:r>
      <w:r w:rsidRPr="002375A7">
        <w:rPr>
          <w:rFonts w:ascii="Times New Roman" w:hAnsi="Times New Roman"/>
          <w:sz w:val="24"/>
          <w:szCs w:val="24"/>
        </w:rPr>
        <w:t xml:space="preserve"> (приемно-контрольные приборы) (рис</w:t>
      </w:r>
      <w:r w:rsidR="00535A03" w:rsidRPr="002375A7">
        <w:rPr>
          <w:rFonts w:ascii="Times New Roman" w:hAnsi="Times New Roman"/>
          <w:sz w:val="24"/>
          <w:szCs w:val="24"/>
        </w:rPr>
        <w:t>унок</w:t>
      </w:r>
      <w:r w:rsidRPr="002375A7">
        <w:rPr>
          <w:rFonts w:ascii="Times New Roman" w:hAnsi="Times New Roman"/>
          <w:sz w:val="24"/>
          <w:szCs w:val="24"/>
        </w:rPr>
        <w:t> </w:t>
      </w:r>
      <w:r w:rsidR="00535A03" w:rsidRPr="002375A7">
        <w:rPr>
          <w:rFonts w:ascii="Times New Roman" w:hAnsi="Times New Roman"/>
          <w:sz w:val="24"/>
          <w:szCs w:val="24"/>
        </w:rPr>
        <w:t>4.1</w:t>
      </w:r>
      <w:r w:rsidR="0077755C" w:rsidRPr="002375A7">
        <w:rPr>
          <w:rFonts w:ascii="Times New Roman" w:hAnsi="Times New Roman"/>
          <w:sz w:val="24"/>
          <w:szCs w:val="24"/>
        </w:rPr>
        <w:t>1</w:t>
      </w:r>
      <w:r w:rsidRPr="002375A7">
        <w:rPr>
          <w:rFonts w:ascii="Times New Roman" w:hAnsi="Times New Roman"/>
          <w:sz w:val="24"/>
          <w:szCs w:val="24"/>
        </w:rPr>
        <w:t>) служат для: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получения от извещателей сигналов о пожаре или значений контролируемых ими п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>раметров;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индикации номера объекта, от которого принят сигнал;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управления звуковой и световой сигнализацией о пожаре;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подачи управляющего сигнала на устройства пожарной автоматики;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sz w:val="24"/>
          <w:szCs w:val="24"/>
        </w:rPr>
        <w:t>- трансляции сигнала тревоги в пожарную охрану.</w:t>
      </w:r>
    </w:p>
    <w:p w:rsidR="0056108B" w:rsidRPr="002375A7" w:rsidRDefault="0056108B" w:rsidP="002375A7">
      <w:pPr>
        <w:pStyle w:val="1"/>
        <w:spacing w:before="0" w:line="240" w:lineRule="auto"/>
        <w:ind w:left="-57" w:right="-57"/>
        <w:rPr>
          <w:sz w:val="24"/>
          <w:szCs w:val="24"/>
        </w:rPr>
      </w:pPr>
      <w:r w:rsidRPr="002375A7">
        <w:rPr>
          <w:sz w:val="24"/>
          <w:szCs w:val="24"/>
        </w:rPr>
        <w:t>Типы систем</w:t>
      </w:r>
      <w:r w:rsidR="00C21CD7" w:rsidRPr="002375A7">
        <w:rPr>
          <w:sz w:val="24"/>
          <w:szCs w:val="24"/>
        </w:rPr>
        <w:t xml:space="preserve"> тревожной</w:t>
      </w:r>
      <w:r w:rsidRPr="002375A7">
        <w:rPr>
          <w:sz w:val="24"/>
          <w:szCs w:val="24"/>
        </w:rPr>
        <w:t xml:space="preserve"> сигнализации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bCs/>
          <w:i/>
          <w:sz w:val="24"/>
          <w:szCs w:val="24"/>
        </w:rPr>
        <w:t>Пороговая (безадресная) сигнализация.</w:t>
      </w:r>
      <w:r w:rsidRPr="002375A7">
        <w:rPr>
          <w:rFonts w:ascii="Times New Roman" w:hAnsi="Times New Roman"/>
          <w:sz w:val="24"/>
          <w:szCs w:val="24"/>
        </w:rPr>
        <w:t xml:space="preserve"> Это наиболее распр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страненный тип сигнализации в виду невысокой стоимости оборуд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вания. Тем не менее, затраты на ее монтаж и техническое обслуживание высоки за счет большого расхода кабельной пр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дукции, а также невысокой надежности извещателей. Защита от их ложных срабатываний обеспечивается за счет ув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личения количества извещателей (два вместо одного на точку), что приводит к некоторому вынужденному удорож</w:t>
      </w:r>
      <w:r w:rsidRPr="002375A7">
        <w:rPr>
          <w:rFonts w:ascii="Times New Roman" w:hAnsi="Times New Roman"/>
          <w:sz w:val="24"/>
          <w:szCs w:val="24"/>
        </w:rPr>
        <w:t>а</w:t>
      </w:r>
      <w:r w:rsidRPr="002375A7">
        <w:rPr>
          <w:rFonts w:ascii="Times New Roman" w:hAnsi="Times New Roman"/>
          <w:sz w:val="24"/>
          <w:szCs w:val="24"/>
        </w:rPr>
        <w:t xml:space="preserve">нию системы в целом. Принятие решения о наличии </w:t>
      </w:r>
      <w:r w:rsidR="00C21CD7" w:rsidRPr="002375A7">
        <w:rPr>
          <w:rFonts w:ascii="Times New Roman" w:hAnsi="Times New Roman"/>
          <w:sz w:val="24"/>
          <w:szCs w:val="24"/>
        </w:rPr>
        <w:t>тревоги</w:t>
      </w:r>
      <w:r w:rsidRPr="002375A7">
        <w:rPr>
          <w:rFonts w:ascii="Times New Roman" w:hAnsi="Times New Roman"/>
          <w:sz w:val="24"/>
          <w:szCs w:val="24"/>
        </w:rPr>
        <w:t xml:space="preserve"> в большей степени зависит от извещателя, а не от ПКП. Целесообразно применение на небол</w:t>
      </w:r>
      <w:r w:rsidRPr="002375A7">
        <w:rPr>
          <w:rFonts w:ascii="Times New Roman" w:hAnsi="Times New Roman"/>
          <w:sz w:val="24"/>
          <w:szCs w:val="24"/>
        </w:rPr>
        <w:t>ь</w:t>
      </w:r>
      <w:r w:rsidRPr="002375A7">
        <w:rPr>
          <w:rFonts w:ascii="Times New Roman" w:hAnsi="Times New Roman"/>
          <w:sz w:val="24"/>
          <w:szCs w:val="24"/>
        </w:rPr>
        <w:t>ших и средних объектах.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56108B" w:rsidRPr="002375A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56108B" w:rsidRPr="002375A7" w:rsidRDefault="002375A7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328160" cy="2628900"/>
                  <wp:effectExtent l="0" t="0" r="0" b="0"/>
                  <wp:docPr id="10" name="Рисунок 10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6108B" w:rsidRPr="002375A7" w:rsidRDefault="0056108B" w:rsidP="002375A7">
            <w:pPr>
              <w:pStyle w:val="21"/>
              <w:spacing w:line="240" w:lineRule="auto"/>
              <w:ind w:left="-57" w:right="-57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5A7">
              <w:rPr>
                <w:rFonts w:ascii="Times New Roman" w:hAnsi="Times New Roman"/>
                <w:sz w:val="24"/>
                <w:szCs w:val="24"/>
              </w:rPr>
              <w:t>Рис</w:t>
            </w:r>
            <w:r w:rsidR="00EC7889" w:rsidRPr="002375A7">
              <w:rPr>
                <w:rFonts w:ascii="Times New Roman" w:hAnsi="Times New Roman"/>
                <w:sz w:val="24"/>
                <w:szCs w:val="24"/>
              </w:rPr>
              <w:t>унок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 </w:t>
            </w:r>
            <w:r w:rsidR="00EC7889" w:rsidRPr="002375A7">
              <w:rPr>
                <w:rFonts w:ascii="Times New Roman" w:hAnsi="Times New Roman"/>
                <w:sz w:val="24"/>
                <w:szCs w:val="24"/>
              </w:rPr>
              <w:t>4.1</w:t>
            </w:r>
            <w:r w:rsidR="0077755C" w:rsidRPr="002375A7">
              <w:rPr>
                <w:rFonts w:ascii="Times New Roman" w:hAnsi="Times New Roman"/>
                <w:sz w:val="24"/>
                <w:szCs w:val="24"/>
              </w:rPr>
              <w:t>1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>.</w:t>
            </w:r>
            <w:r w:rsidR="00EC7889" w:rsidRPr="002375A7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2375A7">
              <w:rPr>
                <w:rFonts w:ascii="Times New Roman" w:hAnsi="Times New Roman"/>
                <w:sz w:val="24"/>
                <w:szCs w:val="24"/>
              </w:rPr>
              <w:t xml:space="preserve"> Внешний приемно-контрольного прибора Сигнал-20П </w:t>
            </w:r>
            <w:r w:rsidRPr="002375A7">
              <w:rPr>
                <w:rFonts w:ascii="Times New Roman" w:hAnsi="Times New Roman"/>
                <w:sz w:val="24"/>
                <w:szCs w:val="24"/>
                <w:lang w:val="en-US"/>
              </w:rPr>
              <w:t>SMD</w:t>
            </w:r>
          </w:p>
        </w:tc>
      </w:tr>
    </w:tbl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bCs/>
          <w:i/>
          <w:sz w:val="24"/>
          <w:szCs w:val="24"/>
        </w:rPr>
        <w:t>Адресная сигнализация.</w:t>
      </w:r>
      <w:r w:rsidRPr="002375A7">
        <w:rPr>
          <w:rFonts w:ascii="Times New Roman" w:hAnsi="Times New Roman"/>
          <w:sz w:val="24"/>
          <w:szCs w:val="24"/>
        </w:rPr>
        <w:t xml:space="preserve"> Появление данного типа сигнализации было вызвано необходимостью точного определения места во</w:t>
      </w:r>
      <w:r w:rsidRPr="002375A7">
        <w:rPr>
          <w:rFonts w:ascii="Times New Roman" w:hAnsi="Times New Roman"/>
          <w:sz w:val="24"/>
          <w:szCs w:val="24"/>
        </w:rPr>
        <w:t>з</w:t>
      </w:r>
      <w:r w:rsidRPr="002375A7">
        <w:rPr>
          <w:rFonts w:ascii="Times New Roman" w:hAnsi="Times New Roman"/>
          <w:sz w:val="24"/>
          <w:szCs w:val="24"/>
        </w:rPr>
        <w:t xml:space="preserve">никновения </w:t>
      </w:r>
      <w:r w:rsidR="001D0314" w:rsidRPr="002375A7">
        <w:rPr>
          <w:rFonts w:ascii="Times New Roman" w:hAnsi="Times New Roman"/>
          <w:sz w:val="24"/>
          <w:szCs w:val="24"/>
        </w:rPr>
        <w:t>тревоги</w:t>
      </w:r>
      <w:r w:rsidRPr="002375A7">
        <w:rPr>
          <w:rFonts w:ascii="Times New Roman" w:hAnsi="Times New Roman"/>
          <w:sz w:val="24"/>
          <w:szCs w:val="24"/>
        </w:rPr>
        <w:t>. Каждый извещатель имеет свой адрес или адресную метку и настройку на один или несколько порогов. Позволяет точно опр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 xml:space="preserve">делять место возникновения </w:t>
      </w:r>
      <w:r w:rsidR="001D0314" w:rsidRPr="002375A7">
        <w:rPr>
          <w:rFonts w:ascii="Times New Roman" w:hAnsi="Times New Roman"/>
          <w:sz w:val="24"/>
          <w:szCs w:val="24"/>
        </w:rPr>
        <w:t>тревоги</w:t>
      </w:r>
      <w:r w:rsidRPr="002375A7">
        <w:rPr>
          <w:rFonts w:ascii="Times New Roman" w:hAnsi="Times New Roman"/>
          <w:sz w:val="24"/>
          <w:szCs w:val="24"/>
        </w:rPr>
        <w:t>. Но избыточночть по количеству извещателей и высокие затраты на обслуж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вание остаются такими же, как в обычных системах за счет того, что используются пороговые извещатели.</w:t>
      </w:r>
    </w:p>
    <w:p w:rsidR="0056108B" w:rsidRPr="002375A7" w:rsidRDefault="0056108B" w:rsidP="002375A7">
      <w:pPr>
        <w:pStyle w:val="21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375A7">
        <w:rPr>
          <w:rFonts w:ascii="Times New Roman" w:hAnsi="Times New Roman"/>
          <w:b/>
          <w:bCs/>
          <w:i/>
          <w:sz w:val="24"/>
          <w:szCs w:val="24"/>
        </w:rPr>
        <w:t>Адресно-аналоговая сигнализация.</w:t>
      </w:r>
      <w:r w:rsidRPr="002375A7">
        <w:rPr>
          <w:rFonts w:ascii="Times New Roman" w:hAnsi="Times New Roman"/>
          <w:sz w:val="24"/>
          <w:szCs w:val="24"/>
        </w:rPr>
        <w:t xml:space="preserve"> Самый современный тип сигнализации. Обеспечивает помимо точного определения места возникновения </w:t>
      </w:r>
      <w:r w:rsidR="001D0314" w:rsidRPr="002375A7">
        <w:rPr>
          <w:rFonts w:ascii="Times New Roman" w:hAnsi="Times New Roman"/>
          <w:sz w:val="24"/>
          <w:szCs w:val="24"/>
        </w:rPr>
        <w:t>тревоги</w:t>
      </w:r>
      <w:r w:rsidRPr="002375A7">
        <w:rPr>
          <w:rFonts w:ascii="Times New Roman" w:hAnsi="Times New Roman"/>
          <w:sz w:val="24"/>
          <w:szCs w:val="24"/>
        </w:rPr>
        <w:t xml:space="preserve"> возможность регистрации е</w:t>
      </w:r>
      <w:r w:rsidR="001D0314"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 xml:space="preserve"> на самой ранней стадии за счет отслеживания не фиксированных порогов, а </w:t>
      </w:r>
      <w:r w:rsidRPr="002375A7">
        <w:rPr>
          <w:rFonts w:ascii="Times New Roman" w:hAnsi="Times New Roman"/>
          <w:sz w:val="24"/>
          <w:szCs w:val="24"/>
        </w:rPr>
        <w:lastRenderedPageBreak/>
        <w:t>текущих значений контр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 xml:space="preserve">лируемых параметров. Решение о наличии </w:t>
      </w:r>
      <w:r w:rsidR="00CA2472" w:rsidRPr="002375A7">
        <w:rPr>
          <w:rFonts w:ascii="Times New Roman" w:hAnsi="Times New Roman"/>
          <w:sz w:val="24"/>
          <w:szCs w:val="24"/>
        </w:rPr>
        <w:t>тревоги</w:t>
      </w:r>
      <w:r w:rsidRPr="002375A7">
        <w:rPr>
          <w:rFonts w:ascii="Times New Roman" w:hAnsi="Times New Roman"/>
          <w:sz w:val="24"/>
          <w:szCs w:val="24"/>
        </w:rPr>
        <w:t xml:space="preserve"> принимает ПКП на основании анализа динамики изменения величины периодически регистриру</w:t>
      </w:r>
      <w:r w:rsidRPr="002375A7">
        <w:rPr>
          <w:rFonts w:ascii="Times New Roman" w:hAnsi="Times New Roman"/>
          <w:sz w:val="24"/>
          <w:szCs w:val="24"/>
        </w:rPr>
        <w:t>е</w:t>
      </w:r>
      <w:r w:rsidRPr="002375A7">
        <w:rPr>
          <w:rFonts w:ascii="Times New Roman" w:hAnsi="Times New Roman"/>
          <w:sz w:val="24"/>
          <w:szCs w:val="24"/>
        </w:rPr>
        <w:t>мых и передаваемых извещателями значений. Позволяют в зависимости от условий эк</w:t>
      </w:r>
      <w:r w:rsidRPr="002375A7">
        <w:rPr>
          <w:rFonts w:ascii="Times New Roman" w:hAnsi="Times New Roman"/>
          <w:sz w:val="24"/>
          <w:szCs w:val="24"/>
        </w:rPr>
        <w:t>с</w:t>
      </w:r>
      <w:r w:rsidRPr="002375A7">
        <w:rPr>
          <w:rFonts w:ascii="Times New Roman" w:hAnsi="Times New Roman"/>
          <w:sz w:val="24"/>
          <w:szCs w:val="24"/>
        </w:rPr>
        <w:t>плуатации (типов помещений, запыленности извещателей, времени суток и т.д.) программно изменять чувствительность извещателей, устанавл</w:t>
      </w:r>
      <w:r w:rsidRPr="002375A7">
        <w:rPr>
          <w:rFonts w:ascii="Times New Roman" w:hAnsi="Times New Roman"/>
          <w:sz w:val="24"/>
          <w:szCs w:val="24"/>
        </w:rPr>
        <w:t>и</w:t>
      </w:r>
      <w:r w:rsidRPr="002375A7">
        <w:rPr>
          <w:rFonts w:ascii="Times New Roman" w:hAnsi="Times New Roman"/>
          <w:sz w:val="24"/>
          <w:szCs w:val="24"/>
        </w:rPr>
        <w:t>вать произвольно пороги срабатывания отдельно для каждого извещателя. Си</w:t>
      </w:r>
      <w:r w:rsidRPr="002375A7">
        <w:rPr>
          <w:rFonts w:ascii="Times New Roman" w:hAnsi="Times New Roman"/>
          <w:sz w:val="24"/>
          <w:szCs w:val="24"/>
        </w:rPr>
        <w:t>с</w:t>
      </w:r>
      <w:r w:rsidRPr="002375A7">
        <w:rPr>
          <w:rFonts w:ascii="Times New Roman" w:hAnsi="Times New Roman"/>
          <w:sz w:val="24"/>
          <w:szCs w:val="24"/>
        </w:rPr>
        <w:t>тема, гибко настраиваемая под условия эксплуатации и особеннос</w:t>
      </w:r>
      <w:bookmarkStart w:id="0" w:name="_GoBack"/>
      <w:bookmarkEnd w:id="0"/>
      <w:r w:rsidRPr="002375A7">
        <w:rPr>
          <w:rFonts w:ascii="Times New Roman" w:hAnsi="Times New Roman"/>
          <w:sz w:val="24"/>
          <w:szCs w:val="24"/>
        </w:rPr>
        <w:t>ти каждого п</w:t>
      </w:r>
      <w:r w:rsidRPr="002375A7">
        <w:rPr>
          <w:rFonts w:ascii="Times New Roman" w:hAnsi="Times New Roman"/>
          <w:sz w:val="24"/>
          <w:szCs w:val="24"/>
        </w:rPr>
        <w:t>о</w:t>
      </w:r>
      <w:r w:rsidRPr="002375A7">
        <w:rPr>
          <w:rFonts w:ascii="Times New Roman" w:hAnsi="Times New Roman"/>
          <w:sz w:val="24"/>
          <w:szCs w:val="24"/>
        </w:rPr>
        <w:t>мещения.</w:t>
      </w:r>
    </w:p>
    <w:sectPr w:rsidR="0056108B" w:rsidRPr="002375A7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0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20"/>
  </w:num>
  <w:num w:numId="5">
    <w:abstractNumId w:val="8"/>
  </w:num>
  <w:num w:numId="6">
    <w:abstractNumId w:val="12"/>
  </w:num>
  <w:num w:numId="7">
    <w:abstractNumId w:val="7"/>
  </w:num>
  <w:num w:numId="8">
    <w:abstractNumId w:val="23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10"/>
  </w:num>
  <w:num w:numId="14">
    <w:abstractNumId w:val="18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14"/>
  </w:num>
  <w:num w:numId="18">
    <w:abstractNumId w:val="17"/>
  </w:num>
  <w:num w:numId="19">
    <w:abstractNumId w:val="19"/>
  </w:num>
  <w:num w:numId="20">
    <w:abstractNumId w:val="15"/>
  </w:num>
  <w:num w:numId="21">
    <w:abstractNumId w:val="13"/>
  </w:num>
  <w:num w:numId="22">
    <w:abstractNumId w:val="24"/>
  </w:num>
  <w:num w:numId="23">
    <w:abstractNumId w:val="2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5152F"/>
    <w:rsid w:val="00057716"/>
    <w:rsid w:val="000B4CFE"/>
    <w:rsid w:val="000C3297"/>
    <w:rsid w:val="000D270F"/>
    <w:rsid w:val="00161848"/>
    <w:rsid w:val="0019771E"/>
    <w:rsid w:val="001B0516"/>
    <w:rsid w:val="001D0314"/>
    <w:rsid w:val="002375A7"/>
    <w:rsid w:val="002741FA"/>
    <w:rsid w:val="002A1AF4"/>
    <w:rsid w:val="00305CEA"/>
    <w:rsid w:val="00314D5D"/>
    <w:rsid w:val="003200EA"/>
    <w:rsid w:val="00471A51"/>
    <w:rsid w:val="004B78F9"/>
    <w:rsid w:val="00535A03"/>
    <w:rsid w:val="0056108B"/>
    <w:rsid w:val="006772B2"/>
    <w:rsid w:val="006C03F9"/>
    <w:rsid w:val="006C5AFD"/>
    <w:rsid w:val="0072250F"/>
    <w:rsid w:val="0077755C"/>
    <w:rsid w:val="007E3C51"/>
    <w:rsid w:val="00805E06"/>
    <w:rsid w:val="00866CF8"/>
    <w:rsid w:val="00942405"/>
    <w:rsid w:val="0095555B"/>
    <w:rsid w:val="009927E2"/>
    <w:rsid w:val="00992C38"/>
    <w:rsid w:val="009E44F7"/>
    <w:rsid w:val="00A53D94"/>
    <w:rsid w:val="00A74D48"/>
    <w:rsid w:val="00B50914"/>
    <w:rsid w:val="00C0372C"/>
    <w:rsid w:val="00C21CD7"/>
    <w:rsid w:val="00CA2472"/>
    <w:rsid w:val="00DA233F"/>
    <w:rsid w:val="00E02DB1"/>
    <w:rsid w:val="00E770F4"/>
    <w:rsid w:val="00EC7889"/>
    <w:rsid w:val="00F73393"/>
    <w:rsid w:val="00F81908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2017-02-08T08:20:00Z</dcterms:created>
  <dcterms:modified xsi:type="dcterms:W3CDTF">2017-02-08T08:20:00Z</dcterms:modified>
</cp:coreProperties>
</file>