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490" w:rsidRPr="002D1365" w:rsidRDefault="00241139" w:rsidP="002D1365">
      <w:pPr>
        <w:ind w:left="-57" w:right="57"/>
        <w:jc w:val="center"/>
        <w:rPr>
          <w:b/>
        </w:rPr>
      </w:pPr>
      <w:bookmarkStart w:id="0" w:name="_GoBack"/>
      <w:r w:rsidRPr="002D1365">
        <w:rPr>
          <w:b/>
        </w:rPr>
        <w:t>3</w:t>
      </w:r>
      <w:r w:rsidR="00333490" w:rsidRPr="002D1365">
        <w:rPr>
          <w:b/>
        </w:rPr>
        <w:t>. </w:t>
      </w:r>
      <w:r w:rsidR="00E56CEC" w:rsidRPr="002D1365">
        <w:rPr>
          <w:b/>
        </w:rPr>
        <w:t>Патентная информация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bookmarkStart w:id="1" w:name="_Toc197937872"/>
      <w:r w:rsidRPr="002D1365">
        <w:rPr>
          <w:rFonts w:ascii="Times New Roman" w:hAnsi="Times New Roman"/>
          <w:sz w:val="24"/>
          <w:szCs w:val="24"/>
        </w:rPr>
        <w:t xml:space="preserve">Патентные исследования (патентный поиск) - это исследования технического уровня и тенденций развития объектов техники, их патентоспособности, патентной чистоты и конкурентоспособности на основе патентной и другой информации.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Патентные исследования проводятся </w:t>
      </w:r>
      <w:proofErr w:type="gramStart"/>
      <w:r w:rsidRPr="002D1365">
        <w:rPr>
          <w:rFonts w:ascii="Times New Roman" w:hAnsi="Times New Roman"/>
          <w:sz w:val="24"/>
          <w:szCs w:val="24"/>
        </w:rPr>
        <w:t>при</w:t>
      </w:r>
      <w:proofErr w:type="gramEnd"/>
      <w:r w:rsidRPr="002D1365">
        <w:rPr>
          <w:rFonts w:ascii="Times New Roman" w:hAnsi="Times New Roman"/>
          <w:sz w:val="24"/>
          <w:szCs w:val="24"/>
        </w:rPr>
        <w:t>: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- разработке научно-технических прогнозов для перспективного планирования;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- разработке планов развития науки и техники;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Pr="002D1365">
        <w:rPr>
          <w:rFonts w:ascii="Times New Roman" w:hAnsi="Times New Roman"/>
          <w:sz w:val="24"/>
          <w:szCs w:val="24"/>
        </w:rPr>
        <w:t>составлении</w:t>
      </w:r>
      <w:proofErr w:type="gramEnd"/>
      <w:r w:rsidRPr="002D1365">
        <w:rPr>
          <w:rFonts w:ascii="Times New Roman" w:hAnsi="Times New Roman"/>
          <w:sz w:val="24"/>
          <w:szCs w:val="24"/>
        </w:rPr>
        <w:t xml:space="preserve"> заявок на разработку и освоение продукции;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Pr="002D1365">
        <w:rPr>
          <w:rFonts w:ascii="Times New Roman" w:hAnsi="Times New Roman"/>
          <w:sz w:val="24"/>
          <w:szCs w:val="24"/>
        </w:rPr>
        <w:t>создании</w:t>
      </w:r>
      <w:proofErr w:type="gramEnd"/>
      <w:r w:rsidRPr="002D1365">
        <w:rPr>
          <w:rFonts w:ascii="Times New Roman" w:hAnsi="Times New Roman"/>
          <w:sz w:val="24"/>
          <w:szCs w:val="24"/>
        </w:rPr>
        <w:t xml:space="preserve"> объектов техники (научные исследования и разработка);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Pr="002D1365">
        <w:rPr>
          <w:rFonts w:ascii="Times New Roman" w:hAnsi="Times New Roman"/>
          <w:sz w:val="24"/>
          <w:szCs w:val="24"/>
        </w:rPr>
        <w:t>освоении</w:t>
      </w:r>
      <w:proofErr w:type="gramEnd"/>
      <w:r w:rsidRPr="002D1365">
        <w:rPr>
          <w:rFonts w:ascii="Times New Roman" w:hAnsi="Times New Roman"/>
          <w:sz w:val="24"/>
          <w:szCs w:val="24"/>
        </w:rPr>
        <w:t xml:space="preserve"> и производстве продукции.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Целью патентных исследований является: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поиск и отбор объективных данных для обеспечения высокого технического уровня и конкурентоспособности объекта техники, использования современных научно-технических достижений и исключения неоправданного дублирования исследований разработок.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Объект (патентных) исследований — объект хозяйственной деятельности и сама хозяйственная деятельность субъекта.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Объект хозяйственной деятельности — объекты техники, в том числе создаваемые по Государственному оборонному заказу, объекты промышленной (интеллектуальной) собственности, ноу-хау, услуги, предоставляемые хозяйствующим субъектом.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Хозяйствующий субъект — любой участник народнохозяйственной деятельности.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Конкурентоспособность — способность объекта хозяйственной деятельности в определенный период обеспечить коммерческий или иной успех на конкретном рынке в условиях конкуренции или противодействия.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Инжиниринг — выполнение различных инженерных работ, оказание консультационных услуг на коммерческой основе.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К участникам хозяйственной деятельности относят предприятие, организацию, концерн, ассоциацию, акционерное общество и другие объединения (далее — предприятие) независимо от форм собственности и подчинения, государственного заказчика, а также лица, занимающиеся индивидуальной трудовой деятельностью.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Согласно документу СТБ 1180-99. «Патентные исследования. Содержание и порядок проведения» по своему характеру и содержанию патентные исследования относятся к прикладным научно-исследовательским работам и являются неотъемлемой составной частью обоснования принимаемых решений народнохозяйственных задач, связанных с созданием, производством, реализацией, совершенствованием, использованием, ремонтом и снятием с производства объектов хозяйственной деятельности.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(К объектам техники также условно отнесены и научно-техническая продукция, штаммы микроорганизмов, технологические процессы, включая химические процессы, биотехнологические, медицинские препараты, способы диагностики, профилактики и лечения).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Патентные исследования могут проводиться как в виде самостоятельной научно-исследовательской работы, так и в составе других работ.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Патентные исследования проводятся на основе анализа источников патентной информации с привлечением других видов научно-технической информации, содержащих сведения о последних научно-технических достижениях, с целью исследования уровня и тенденций развития соответствующей отрасли науки и отсутствия дублирования разработок.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На основе результатов анализа изученной патентной документации и соответствующей отрасли науки научно-технической литературы определяется эффективность научных разработок и возможность их защиты патентами на изобретения, полезные модели и промышленные образцы.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При проведении патентных исследований используются все доступные источники патентной и другой научно-технической  информации.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Патентные исследования проводят хозяйствующие субъекты: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proofErr w:type="gramStart"/>
      <w:r w:rsidRPr="002D1365">
        <w:rPr>
          <w:rFonts w:ascii="Times New Roman" w:hAnsi="Times New Roman"/>
          <w:sz w:val="24"/>
          <w:szCs w:val="24"/>
        </w:rPr>
        <w:lastRenderedPageBreak/>
        <w:t>— исполнители (разработчики) программ (межгосударственных, государственных, региональных, отраслевых и других) создания, развития производства и использования объектов техники;</w:t>
      </w:r>
      <w:proofErr w:type="gramEnd"/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— исполнители фундаментальных исследований с практическим выходом продукции и исследований прикладного характера — исполнители НИР и </w:t>
      </w:r>
      <w:proofErr w:type="gramStart"/>
      <w:r w:rsidRPr="002D1365">
        <w:rPr>
          <w:rFonts w:ascii="Times New Roman" w:hAnsi="Times New Roman"/>
          <w:sz w:val="24"/>
          <w:szCs w:val="24"/>
        </w:rPr>
        <w:t>ОКР</w:t>
      </w:r>
      <w:proofErr w:type="gramEnd"/>
      <w:r w:rsidRPr="002D1365">
        <w:rPr>
          <w:rFonts w:ascii="Times New Roman" w:hAnsi="Times New Roman"/>
          <w:sz w:val="24"/>
          <w:szCs w:val="24"/>
        </w:rPr>
        <w:t>;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— заказчики (основные потребители объектов хозяйственной деятельности);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— изготовители (поставщики) объектов хозяйственной деятельности.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В зависимости от практической потребности патентные исследования проводят: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proofErr w:type="gramStart"/>
      <w:r w:rsidRPr="002D1365">
        <w:rPr>
          <w:rFonts w:ascii="Times New Roman" w:hAnsi="Times New Roman"/>
          <w:sz w:val="24"/>
          <w:szCs w:val="24"/>
        </w:rPr>
        <w:t>— заказчик (основной потребитель) — при прогнозировании, перспективном и текущем планировании, определении направлений, темпов развития средств технического обеспечения своей деятельности, исследовательском проектировании, формировании заказов исполнителям, поставщикам, при использовании (эксплуатации) продукции;</w:t>
      </w:r>
      <w:proofErr w:type="gramEnd"/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— исполнитель научно-исследовательских работ — при прогнозировании, перспективном и текущем планировании научных исследований, выборе направлений исследований для создания новых и модернизации существующих объектов техники и их технико-экономическом обосновании; при определении инжиниринговых услуг; при изыскании, исследовании применения объектов техники по новому назначению; при выполнении научно-исследовательских работ и их этапов; при осуществлении научно-технического сотрудничества;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proofErr w:type="gramStart"/>
      <w:r w:rsidRPr="002D1365">
        <w:rPr>
          <w:rFonts w:ascii="Times New Roman" w:hAnsi="Times New Roman"/>
          <w:sz w:val="24"/>
          <w:szCs w:val="24"/>
        </w:rPr>
        <w:t xml:space="preserve">— исполнитель (разработчик, проектант, проектировщик) — при прогнозировании, перспективном и текущем планировании своей деятельности; при обосновании необходимости выполнения конкретных работ; в процессе выполнения опытно-конструкторских, проектно-конструкторских, проектных, технологических, изыскательских и других работ (в том числе </w:t>
      </w:r>
      <w:proofErr w:type="spellStart"/>
      <w:r w:rsidRPr="002D1365">
        <w:rPr>
          <w:rFonts w:ascii="Times New Roman" w:hAnsi="Times New Roman"/>
          <w:sz w:val="24"/>
          <w:szCs w:val="24"/>
        </w:rPr>
        <w:t>аванпроектов</w:t>
      </w:r>
      <w:proofErr w:type="spellEnd"/>
      <w:r w:rsidRPr="002D1365">
        <w:rPr>
          <w:rFonts w:ascii="Times New Roman" w:hAnsi="Times New Roman"/>
          <w:sz w:val="24"/>
          <w:szCs w:val="24"/>
        </w:rPr>
        <w:t>) и их этапов; при обосновании выбора форм реализации и обеспечения условий реализации продукции; при решении вопросов использования опыта и знаний сторонних организаций и фирм;</w:t>
      </w:r>
      <w:proofErr w:type="gramEnd"/>
      <w:r w:rsidRPr="002D1365">
        <w:rPr>
          <w:rFonts w:ascii="Times New Roman" w:hAnsi="Times New Roman"/>
          <w:sz w:val="24"/>
          <w:szCs w:val="24"/>
        </w:rPr>
        <w:t xml:space="preserve"> при определении инжиниринговых услуг; при осуществлении научно-технического сотрудничества;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proofErr w:type="gramStart"/>
      <w:r w:rsidRPr="002D1365">
        <w:rPr>
          <w:rFonts w:ascii="Times New Roman" w:hAnsi="Times New Roman"/>
          <w:sz w:val="24"/>
          <w:szCs w:val="24"/>
        </w:rPr>
        <w:t>— изготовитель (поставщик) — при перспективном и текущем планировании развития производства или его модернизации, постановке продукции на производство, при решении вопросов повышения качества продукции, совершенствования технологии, материального, технологического обеспечения производства, приобретения зарубежного оборудования и лицензий; при совершенствовании продукции; при решении вопросов реализации продукции и обеспечения оптимальных ее условий, включая сервисные услуги поставленной продукции;</w:t>
      </w:r>
      <w:proofErr w:type="gramEnd"/>
      <w:r w:rsidRPr="002D1365">
        <w:rPr>
          <w:rFonts w:ascii="Times New Roman" w:hAnsi="Times New Roman"/>
          <w:sz w:val="24"/>
          <w:szCs w:val="24"/>
        </w:rPr>
        <w:t xml:space="preserve"> при решении вопросов кооперирования производства, создании совместных предприятий;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— все хозяйствующие субъекты — при решении вопросов правовой охраны объектов промышленной (интеллектуальной) собственности.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Проведение патентных исследований и представление их результатов предусматривают в договорной и (или) планово-технической документации* на выполнение работ.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proofErr w:type="gramStart"/>
      <w:r w:rsidRPr="002D1365">
        <w:rPr>
          <w:rFonts w:ascii="Times New Roman" w:hAnsi="Times New Roman"/>
          <w:sz w:val="24"/>
          <w:szCs w:val="24"/>
        </w:rPr>
        <w:t xml:space="preserve">Планы (в том числе календарные), программы (например, программы научно-исследовательских работ), ведомости исполнения опытно-конструкторских работ, графики (генеральные, сетевые, линейные) выполнения работы, тактико-технические, технические задания и другие принятые хозяйствующим субъектом документы, определяющие содержание, сроки, порядок выполнения и требования к результатам работы, выполняемой по договору. </w:t>
      </w:r>
      <w:proofErr w:type="gramEnd"/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Поставщики и разработчики комплектующих изделий, оборудования, материалов, технологии, созданных (создаваемых) не по единому исходному техническому документу, а в ином порядке, представляют результаты патентных исследований на эти объекты головному исполнителю (исполнителю) работ, заказчику, изготовителю конечной продукции по их запросам по отдельному договору.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В этой документации предусматривают необходимость применения требований настоящего стандарта при организации, проведении, оформлении и использовании результатов патентных исследований.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lastRenderedPageBreak/>
        <w:t>В договорной документации на проведение работ определяют права и обязанности сторон, в том числе в отношении результатов патентных исследований, условия конфиденциальности, а также ответственность сторон за последствия, вызванные отказом от проведения патентных исследований, выполнением их в ограниченном объеме, отказом от использования их результатов и т.д.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Необходимость привлечения сторонних организаций к проведению патентных исследований определяет исполнитель работы. Участие сторонних организаций в проведении патентных исследований или их выполнение сторонними организациями оформляют договором (контрактом).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Необходимость проведения патентных исследований при выполнении составных частей работ или при разработке комплектующих изделий, материалов, технологии, осуществляемых по единому исходному техническому документу (техническому, тактико-техническому заданию), определяет головной исполнитель работы, оформляя проведение патентных исследований.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Стандартизация в патентной документации.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Основа патентных исследований - информационный поиск. Современными средствами доступа к мировым информационным ресурсам являются компьютерные сети, в частности Интернет. Патентные документы в настоящее время, кроме традиционного вида - на бумажных носителях, представлены в виде электронных баз данных ЕПВ, ВОИС, USA, De, Fr и др. Кроме этого, Национальный центр интеллектуальной собственности и РНТБ имеют базу данных на CD-ROM дисках и DVD-ROM дисках, специализированный поисковый интерфейс М</w:t>
      </w:r>
      <w:proofErr w:type="gramStart"/>
      <w:r w:rsidRPr="002D1365">
        <w:rPr>
          <w:rFonts w:ascii="Times New Roman" w:hAnsi="Times New Roman"/>
          <w:sz w:val="24"/>
          <w:szCs w:val="24"/>
        </w:rPr>
        <w:t>I</w:t>
      </w:r>
      <w:proofErr w:type="gramEnd"/>
      <w:r w:rsidRPr="002D1365">
        <w:rPr>
          <w:rFonts w:ascii="Times New Roman" w:hAnsi="Times New Roman"/>
          <w:sz w:val="24"/>
          <w:szCs w:val="24"/>
        </w:rPr>
        <w:t xml:space="preserve">МОЗА. При этом в Национальном центре интеллектуальной собственности на основе поисковой базы данных GLOBAL PAT и PAJ в формате «первая страница» сформированы поисковые системы для оценки релевантности документов в ускоренном режиме (до 10 документов в секунду). Кроме этого, предусмотрена возможность соединения с сервером ESP@CENET для доступа к полнотекстовым документам.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Основные составляющие патентных исследований.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I. Исследование технического уровня и тенденций развития объектов техники.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II. Оценка патентоспособности новых технических решений.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III. Проверка патентной чистоты объектов техники.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IV. Анализ конкурентоспособности объектов техники.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bookmarkStart w:id="2" w:name="_Toc197937886"/>
      <w:r w:rsidRPr="002D1365">
        <w:rPr>
          <w:rFonts w:ascii="Times New Roman" w:hAnsi="Times New Roman"/>
          <w:sz w:val="24"/>
          <w:szCs w:val="24"/>
        </w:rPr>
        <w:t>Исследование технического уровня и тенденций развития объектов техники, их патентоспособности, патентной чистоты, конкурентоспособности на основе патентной и другой информации</w:t>
      </w:r>
      <w:bookmarkEnd w:id="2"/>
      <w:r w:rsidR="000F5B2D" w:rsidRPr="002D1365">
        <w:rPr>
          <w:rFonts w:ascii="Times New Roman" w:hAnsi="Times New Roman"/>
          <w:sz w:val="24"/>
          <w:szCs w:val="24"/>
        </w:rPr>
        <w:t>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I. Исследование технического уровня и тенденций развития объектов техники.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Технический уровень объекта техники - степень реализации в изучаемом (исследуемом, разрабатываемом) объекте техники прогрессивных технических решений в сравнении с аналогами.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Перспективные направления разработки, освоения и постановки на производство конкурентоспособной продукции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1. Поиск, отбор и использование технических решений, на которые прекратили действие патенты (свыше 30 млн. штук).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2. Поиск и отбор охраняемых технических решений, закупка лицензий (заключение лицензионных договоров).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3. Выявление перспективного направления (аналога), его усовершенствование, позволяющее уйти из-под действия охранного документа.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4. Создание абсолютно нового технического решения (пионерское изобретение).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II. Оценка патентоспособности новых технических решений.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Патентоспособность - возможность получения какого-либо охранного документа на данный объект (техническое решение) в одной или нескольких странах.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Изобретению в любой области техники предоставляется правовая охрана, если оно относится к продукту или способу, является новым, имеет изобретательский уровень и промышленно применимо.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Изобретение является новым, если оно не является частью уровня техники.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lastRenderedPageBreak/>
        <w:t>Изобретение имеет изобретательский уровень, если оно для специалиста явным образом не следует из уровня техники.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Изобретение является промышленно применимым, если оно может быть использовано в промышленности, сельском хозяйстве, здравоохранении и других сферах деятельности.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Полезная модель является новой, если совокупность ее существенных признаков не является частью уровня техники.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Полезная модель является промышленно применимой, если она может быть использована в промышленности, сельском хозяйстве, здравоохранении и других сферах деятельности.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Промышленным образцом, которому предоставляется правовая охрана, признается художественное или художественно-конструкторское решение изделия, определяющее его внешний вид и являющееся новым и оригинальным. При этом под изделием понимается предмет промышленного или кустарного производства.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Промышленный образец признается новым, если совокупность его существенных признаков неизвестна из сведений, ставших общедоступными в мире до даты приоритета промышленного образца.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Промышленный образец признается оригинальным, если его существенные признаки обусловливают творческий характер особенностей изделия.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III. Проверка патентной чистоты объектов техники.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Патентная чистота - юридическое свойство объекта техники, заключающееся в том, что он может быть свободно использован в данной стране без опасности нарушения действующих на ее территории </w:t>
      </w:r>
      <w:proofErr w:type="gramStart"/>
      <w:r w:rsidRPr="002D1365">
        <w:rPr>
          <w:rFonts w:ascii="Times New Roman" w:hAnsi="Times New Roman"/>
          <w:sz w:val="24"/>
          <w:szCs w:val="24"/>
        </w:rPr>
        <w:t>патентов</w:t>
      </w:r>
      <w:proofErr w:type="gramEnd"/>
      <w:r w:rsidRPr="002D1365">
        <w:rPr>
          <w:rFonts w:ascii="Times New Roman" w:hAnsi="Times New Roman"/>
          <w:sz w:val="24"/>
          <w:szCs w:val="24"/>
        </w:rPr>
        <w:t xml:space="preserve"> на объекты промышленной собственности, принадлежащих третьим лицам.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Критерии патентной чистоты объекта техники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•  в отношении изобретений (полезных моделей): не использование хотя бы одного из существенных признаков каждого изобретения, входящего в объект техники;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•  в отношении промышленных образцов: отсутствие общего сходства, дающего впечатление об идентичности при разновременном восприятии.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Объект техники не обладает патентной чистотой: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•  если все признаки изобретения, защищенного патентом, использованы в проверяемом объекте;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•  если в проверяемом объекте использованы все признаки изобретения, защищенного патентом, и имеются другие дополнительные признаки;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•  если в проверяемом объекте не использован один из существенных признаков, но он заменен другим эквивалентным признаком.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Если в проверяемом объекте не использован хотя бы один из существенных признаков изобретения, защищенного патентом, и этот признак не заменен техническим эквивалентом, то объект обладает патентной чистотой.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IV. Анализ конкурентоспособности объектов техники.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proofErr w:type="gramStart"/>
      <w:r w:rsidRPr="002D1365">
        <w:rPr>
          <w:rFonts w:ascii="Times New Roman" w:hAnsi="Times New Roman"/>
          <w:sz w:val="24"/>
          <w:szCs w:val="24"/>
        </w:rPr>
        <w:t xml:space="preserve">Проведенный комплекс исследований по определению технического уровня и тенденций развития объектов техники, их патентоспособности и патентной чистоты является одним из критериев, по которому определяется конкурентоспособность объекта техники. </w:t>
      </w:r>
      <w:proofErr w:type="gramEnd"/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bookmarkStart w:id="3" w:name="_Toc197937887"/>
      <w:r w:rsidRPr="002D1365">
        <w:rPr>
          <w:rFonts w:ascii="Times New Roman" w:hAnsi="Times New Roman"/>
          <w:sz w:val="24"/>
          <w:szCs w:val="24"/>
        </w:rPr>
        <w:t>Особенности проведения патентных исследований (статистических, содержательных, конъюнктурных) на стадиях и этапах жизненного цикла продукции</w:t>
      </w:r>
      <w:bookmarkEnd w:id="3"/>
      <w:r w:rsidR="000F5B2D" w:rsidRPr="002D1365">
        <w:rPr>
          <w:rFonts w:ascii="Times New Roman" w:hAnsi="Times New Roman"/>
          <w:sz w:val="24"/>
          <w:szCs w:val="24"/>
        </w:rPr>
        <w:t>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Порядок проведения патентных исследований.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1. Разработка программы (регламента) исследований;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2. Поиск и отбор патентной и научно-технической информации;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3. Анализ результатов исследований.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Операции (работы), выполняемые при разработке программы (регламента):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1. Определение предмета исследований (объект в целом, его составные части, или элементы).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2. Определение стран (фирм) поиска.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3. Определение видов информационных источников;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lastRenderedPageBreak/>
        <w:t>4. Определение глубины поиска.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5. Определение примерного классификационного индекса МПК с помощью алфавитно-предметного указателя (АПУ) к МПК (МКИ), включающего перечень ключевых понятия соответствующих индексов системы классификации МПК;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6. Уточнение классификационного индекса с помощью соответствующего индекса раздела МПК.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bookmarkStart w:id="4" w:name="_Toc197937888"/>
      <w:r w:rsidRPr="002D1365">
        <w:rPr>
          <w:rFonts w:ascii="Times New Roman" w:hAnsi="Times New Roman"/>
          <w:sz w:val="24"/>
          <w:szCs w:val="24"/>
        </w:rPr>
        <w:t>Патентно-информационный поиск при проведении патентных исследований (тематический, именной, нумерационный и др.)</w:t>
      </w:r>
      <w:bookmarkEnd w:id="4"/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Особенности проведения патентных исследований на стадиях и этапах жизненного цикла продукции.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Патентные исследования включают статистические, содержательные, конъюнктурные.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Наука России в цифрах: 2005. </w:t>
      </w:r>
      <w:proofErr w:type="spellStart"/>
      <w:proofErr w:type="gramStart"/>
      <w:r w:rsidRPr="002D1365">
        <w:rPr>
          <w:rFonts w:ascii="Times New Roman" w:hAnsi="Times New Roman"/>
          <w:sz w:val="24"/>
          <w:szCs w:val="24"/>
        </w:rPr>
        <w:t>C</w:t>
      </w:r>
      <w:proofErr w:type="gramEnd"/>
      <w:r w:rsidRPr="002D1365">
        <w:rPr>
          <w:rFonts w:ascii="Times New Roman" w:hAnsi="Times New Roman"/>
          <w:sz w:val="24"/>
          <w:szCs w:val="24"/>
        </w:rPr>
        <w:t>тат</w:t>
      </w:r>
      <w:proofErr w:type="spellEnd"/>
      <w:r w:rsidRPr="002D1365">
        <w:rPr>
          <w:rFonts w:ascii="Times New Roman" w:hAnsi="Times New Roman"/>
          <w:sz w:val="24"/>
          <w:szCs w:val="24"/>
        </w:rPr>
        <w:t>. сб. - М.: ЦИСН, 2005.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Предлагаемый сборник продолжает серию статистических публикаций Центра исследований и статистики науки (ЦИСН) и адресован широкому кругу читателей. В нем приведены основные показатели состояния и уровня развития научного потенциала России за 1998-2004 гг. и ряд прогнозных показателей на </w:t>
      </w:r>
      <w:smartTag w:uri="urn:schemas-microsoft-com:office:smarttags" w:element="metricconverter">
        <w:smartTagPr>
          <w:attr w:name="ProductID" w:val="2005 г"/>
        </w:smartTagPr>
        <w:r w:rsidRPr="002D1365">
          <w:rPr>
            <w:rFonts w:ascii="Times New Roman" w:hAnsi="Times New Roman"/>
            <w:sz w:val="24"/>
            <w:szCs w:val="24"/>
          </w:rPr>
          <w:t>2005 г</w:t>
        </w:r>
      </w:smartTag>
      <w:r w:rsidRPr="002D1365">
        <w:rPr>
          <w:rFonts w:ascii="Times New Roman" w:hAnsi="Times New Roman"/>
          <w:sz w:val="24"/>
          <w:szCs w:val="24"/>
        </w:rPr>
        <w:t xml:space="preserve">., результаты инновационной деятельности в промышленности и сфере услуг и сведения об использовании информационно-коммуникационных технологий в экономике России за 2002-2004 гг. В сборник включены данные по международным сопоставлениям. Представленная информация базируется на современных методологических подходах к статистике науки и полностью отвечает требованиям международных статистических стандартов. При подготовке сборника использованы материалы Росстата, </w:t>
      </w:r>
      <w:proofErr w:type="spellStart"/>
      <w:r w:rsidRPr="002D1365">
        <w:rPr>
          <w:rFonts w:ascii="Times New Roman" w:hAnsi="Times New Roman"/>
          <w:sz w:val="24"/>
          <w:szCs w:val="24"/>
        </w:rPr>
        <w:t>Минобрнауки</w:t>
      </w:r>
      <w:proofErr w:type="spellEnd"/>
      <w:r w:rsidRPr="002D1365">
        <w:rPr>
          <w:rFonts w:ascii="Times New Roman" w:hAnsi="Times New Roman"/>
          <w:sz w:val="24"/>
          <w:szCs w:val="24"/>
        </w:rPr>
        <w:t xml:space="preserve"> России, </w:t>
      </w:r>
      <w:proofErr w:type="spellStart"/>
      <w:r w:rsidRPr="002D1365">
        <w:rPr>
          <w:rFonts w:ascii="Times New Roman" w:hAnsi="Times New Roman"/>
          <w:sz w:val="24"/>
          <w:szCs w:val="24"/>
        </w:rPr>
        <w:t>Роснауки</w:t>
      </w:r>
      <w:proofErr w:type="spellEnd"/>
      <w:r w:rsidRPr="002D1365">
        <w:rPr>
          <w:rFonts w:ascii="Times New Roman" w:hAnsi="Times New Roman"/>
          <w:sz w:val="24"/>
          <w:szCs w:val="24"/>
        </w:rPr>
        <w:t xml:space="preserve">, Роспатента, ВАК России, </w:t>
      </w:r>
      <w:proofErr w:type="spellStart"/>
      <w:r w:rsidRPr="002D1365">
        <w:rPr>
          <w:rFonts w:ascii="Times New Roman" w:hAnsi="Times New Roman"/>
          <w:sz w:val="24"/>
          <w:szCs w:val="24"/>
        </w:rPr>
        <w:t>Статкомитета</w:t>
      </w:r>
      <w:proofErr w:type="spellEnd"/>
      <w:r w:rsidRPr="002D1365">
        <w:rPr>
          <w:rFonts w:ascii="Times New Roman" w:hAnsi="Times New Roman"/>
          <w:sz w:val="24"/>
          <w:szCs w:val="24"/>
        </w:rPr>
        <w:t xml:space="preserve"> СНГ, ОЭСР и собственные методические разработки ЦИСН. Приведенные данные в ряде случаев уточняют ранее опубликованные.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Термином жизненный цикл (ЖЦ) принято отражать совокупность процессов и этапов развития организмов живой природы, технических систем, продуктов производства от моментов зарождения или появления потребности их создания и использования до прекращения функционирования или применения. Это соответствует всеобщему закону развития любых изделий, событий или процессов между их началом и концом, которые определяют цикл их создания, существования и применения.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Все виды продукции, технологии и услуг имеют определенный жизненный цикл. Различают жизненный цикл продукции, отдельной компании и даже в целом целой отрасли, который, по сути, является суммарной величиной жизненных циклов соответствующей группы </w:t>
      </w:r>
      <w:proofErr w:type="gramStart"/>
      <w:r w:rsidRPr="002D1365">
        <w:rPr>
          <w:rFonts w:ascii="Times New Roman" w:hAnsi="Times New Roman"/>
          <w:sz w:val="24"/>
          <w:szCs w:val="24"/>
        </w:rPr>
        <w:t>продукции-аналогов</w:t>
      </w:r>
      <w:proofErr w:type="gramEnd"/>
      <w:r w:rsidRPr="002D1365">
        <w:rPr>
          <w:rFonts w:ascii="Times New Roman" w:hAnsi="Times New Roman"/>
          <w:sz w:val="24"/>
          <w:szCs w:val="24"/>
        </w:rPr>
        <w:t xml:space="preserve"> по физическим характеристикам или потребительскому назначению.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Жизненный цикл продукции (ЖЦП) — все этапы «жизни» продукции:</w:t>
      </w:r>
    </w:p>
    <w:p w:rsidR="00A06E3A" w:rsidRPr="002D1365" w:rsidRDefault="00A06E3A" w:rsidP="002D1365">
      <w:pPr>
        <w:pStyle w:val="21"/>
        <w:numPr>
          <w:ilvl w:val="0"/>
          <w:numId w:val="14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дизайнерская задумка, </w:t>
      </w:r>
    </w:p>
    <w:p w:rsidR="00A06E3A" w:rsidRPr="002D1365" w:rsidRDefault="00A06E3A" w:rsidP="002D1365">
      <w:pPr>
        <w:pStyle w:val="21"/>
        <w:numPr>
          <w:ilvl w:val="0"/>
          <w:numId w:val="14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конструкторская и технологическая подготовка производства, </w:t>
      </w:r>
    </w:p>
    <w:p w:rsidR="00A06E3A" w:rsidRPr="002D1365" w:rsidRDefault="00A06E3A" w:rsidP="002D1365">
      <w:pPr>
        <w:pStyle w:val="21"/>
        <w:numPr>
          <w:ilvl w:val="0"/>
          <w:numId w:val="14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изготовление, </w:t>
      </w:r>
    </w:p>
    <w:p w:rsidR="00A06E3A" w:rsidRPr="002D1365" w:rsidRDefault="00A06E3A" w:rsidP="002D1365">
      <w:pPr>
        <w:pStyle w:val="21"/>
        <w:numPr>
          <w:ilvl w:val="0"/>
          <w:numId w:val="14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обслуживание, </w:t>
      </w:r>
    </w:p>
    <w:p w:rsidR="00A06E3A" w:rsidRPr="002D1365" w:rsidRDefault="00A06E3A" w:rsidP="002D1365">
      <w:pPr>
        <w:pStyle w:val="21"/>
        <w:numPr>
          <w:ilvl w:val="0"/>
          <w:numId w:val="14"/>
        </w:numPr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утилизация и т.п.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Типовая модель процессов жизненного цикла сложной системы начинается с концепции идеи системы или потребности в ней, охватывает проектирование, разработку, применение и сопровождение системы, и заканчивается снятием системы с эксплуатации. В основном, применяется по отношению к сложной наукоемкой продукции высокотехнологичных предприятий.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Модель жизненного цикла системы обычно разделяют на последовательные периоды реализации — стадии или этапы. Каждый подобный период включает основные реализуемые в нем процессы, работы и задачи, при завершении которых может потребоваться переход к следующему периоду реализации. </w:t>
      </w:r>
    </w:p>
    <w:p w:rsidR="00A06E3A" w:rsidRPr="002D1365" w:rsidRDefault="00A06E3A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Общую модель жизненного цикла сложной системы обычно разделяют на следующие основные этапы с последующей адаптацией каждого из них в модели жизненного цикла конкретной системы: </w:t>
      </w:r>
    </w:p>
    <w:p w:rsidR="00A06E3A" w:rsidRPr="002D1365" w:rsidRDefault="000F5B2D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lastRenderedPageBreak/>
        <w:t>-</w:t>
      </w:r>
      <w:r w:rsidR="00A06E3A" w:rsidRPr="002D1365">
        <w:rPr>
          <w:rFonts w:ascii="Times New Roman" w:hAnsi="Times New Roman"/>
          <w:sz w:val="24"/>
          <w:szCs w:val="24"/>
        </w:rPr>
        <w:t xml:space="preserve"> потребностей; </w:t>
      </w:r>
    </w:p>
    <w:p w:rsidR="00A06E3A" w:rsidRPr="002D1365" w:rsidRDefault="000F5B2D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 xml:space="preserve">- </w:t>
      </w:r>
      <w:r w:rsidR="00A06E3A" w:rsidRPr="002D1365">
        <w:rPr>
          <w:rFonts w:ascii="Times New Roman" w:hAnsi="Times New Roman"/>
          <w:sz w:val="24"/>
          <w:szCs w:val="24"/>
        </w:rPr>
        <w:t xml:space="preserve">исследование и описание основных концепций; </w:t>
      </w:r>
    </w:p>
    <w:p w:rsidR="00A06E3A" w:rsidRPr="002D1365" w:rsidRDefault="000F5B2D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-</w:t>
      </w:r>
      <w:r w:rsidR="00A06E3A" w:rsidRPr="002D1365">
        <w:rPr>
          <w:rFonts w:ascii="Times New Roman" w:hAnsi="Times New Roman"/>
          <w:sz w:val="24"/>
          <w:szCs w:val="24"/>
        </w:rPr>
        <w:t xml:space="preserve">·и разработка; </w:t>
      </w:r>
    </w:p>
    <w:p w:rsidR="00A06E3A" w:rsidRPr="002D1365" w:rsidRDefault="000F5B2D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-</w:t>
      </w:r>
      <w:r w:rsidR="00A06E3A" w:rsidRPr="002D1365">
        <w:rPr>
          <w:rFonts w:ascii="Times New Roman" w:hAnsi="Times New Roman"/>
          <w:sz w:val="24"/>
          <w:szCs w:val="24"/>
        </w:rPr>
        <w:t xml:space="preserve">·системы; </w:t>
      </w:r>
    </w:p>
    <w:p w:rsidR="00A06E3A" w:rsidRPr="002D1365" w:rsidRDefault="000F5B2D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-</w:t>
      </w:r>
      <w:r w:rsidR="00A06E3A" w:rsidRPr="002D1365">
        <w:rPr>
          <w:rFonts w:ascii="Times New Roman" w:hAnsi="Times New Roman"/>
          <w:sz w:val="24"/>
          <w:szCs w:val="24"/>
        </w:rPr>
        <w:t xml:space="preserve">·и производство; </w:t>
      </w:r>
    </w:p>
    <w:p w:rsidR="00A06E3A" w:rsidRPr="002D1365" w:rsidRDefault="000F5B2D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-</w:t>
      </w:r>
      <w:r w:rsidR="00A06E3A" w:rsidRPr="002D1365">
        <w:rPr>
          <w:rFonts w:ascii="Times New Roman" w:hAnsi="Times New Roman"/>
          <w:sz w:val="24"/>
          <w:szCs w:val="24"/>
        </w:rPr>
        <w:t xml:space="preserve">·и продажа; </w:t>
      </w:r>
    </w:p>
    <w:p w:rsidR="00A06E3A" w:rsidRPr="002D1365" w:rsidRDefault="000F5B2D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-</w:t>
      </w:r>
      <w:r w:rsidR="00A06E3A" w:rsidRPr="002D1365">
        <w:rPr>
          <w:rFonts w:ascii="Times New Roman" w:hAnsi="Times New Roman"/>
          <w:sz w:val="24"/>
          <w:szCs w:val="24"/>
        </w:rPr>
        <w:t xml:space="preserve">·эксплуатация; </w:t>
      </w:r>
    </w:p>
    <w:p w:rsidR="00A06E3A" w:rsidRPr="002D1365" w:rsidRDefault="000F5B2D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-</w:t>
      </w:r>
      <w:r w:rsidR="00A06E3A" w:rsidRPr="002D1365">
        <w:rPr>
          <w:rFonts w:ascii="Times New Roman" w:hAnsi="Times New Roman"/>
          <w:sz w:val="24"/>
          <w:szCs w:val="24"/>
        </w:rPr>
        <w:t xml:space="preserve">·сопровождение и мониторинг; </w:t>
      </w:r>
    </w:p>
    <w:p w:rsidR="00A06E3A" w:rsidRPr="002D1365" w:rsidRDefault="000F5B2D" w:rsidP="002D1365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2D1365">
        <w:rPr>
          <w:rFonts w:ascii="Times New Roman" w:hAnsi="Times New Roman"/>
          <w:sz w:val="24"/>
          <w:szCs w:val="24"/>
        </w:rPr>
        <w:t>-</w:t>
      </w:r>
      <w:r w:rsidR="00A06E3A" w:rsidRPr="002D1365">
        <w:rPr>
          <w:rFonts w:ascii="Times New Roman" w:hAnsi="Times New Roman"/>
          <w:sz w:val="24"/>
          <w:szCs w:val="24"/>
        </w:rPr>
        <w:t xml:space="preserve">·снятие с эксплуатации (утилизация). </w:t>
      </w:r>
      <w:bookmarkEnd w:id="1"/>
      <w:bookmarkEnd w:id="0"/>
    </w:p>
    <w:sectPr w:rsidR="00A06E3A" w:rsidRPr="002D1365" w:rsidSect="0094240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4AC2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1DA346E"/>
    <w:multiLevelType w:val="hybridMultilevel"/>
    <w:tmpl w:val="2070A8C8"/>
    <w:lvl w:ilvl="0" w:tplc="FFFFFFFF">
      <w:start w:val="1"/>
      <w:numFmt w:val="bullet"/>
      <w:pStyle w:val="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A812367"/>
    <w:multiLevelType w:val="hybridMultilevel"/>
    <w:tmpl w:val="D540A97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9764CA"/>
    <w:multiLevelType w:val="hybridMultilevel"/>
    <w:tmpl w:val="B7C48E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257E0F0B"/>
    <w:multiLevelType w:val="hybridMultilevel"/>
    <w:tmpl w:val="99A83BE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2AD85272"/>
    <w:multiLevelType w:val="hybridMultilevel"/>
    <w:tmpl w:val="6ADA90D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2D4D1377"/>
    <w:multiLevelType w:val="hybridMultilevel"/>
    <w:tmpl w:val="FD623FF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314F64FC"/>
    <w:multiLevelType w:val="hybridMultilevel"/>
    <w:tmpl w:val="A3B8461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FB941C4"/>
    <w:multiLevelType w:val="hybridMultilevel"/>
    <w:tmpl w:val="6F2C4D3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5C8063F7"/>
    <w:multiLevelType w:val="hybridMultilevel"/>
    <w:tmpl w:val="9CBC62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70454DD"/>
    <w:multiLevelType w:val="hybridMultilevel"/>
    <w:tmpl w:val="E7D21AC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67422AE5"/>
    <w:multiLevelType w:val="hybridMultilevel"/>
    <w:tmpl w:val="BEAA0E2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69095253"/>
    <w:multiLevelType w:val="hybridMultilevel"/>
    <w:tmpl w:val="E5EC47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6AF20D8D"/>
    <w:multiLevelType w:val="hybridMultilevel"/>
    <w:tmpl w:val="353228E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  <w:num w:numId="11">
    <w:abstractNumId w:val="7"/>
  </w:num>
  <w:num w:numId="12">
    <w:abstractNumId w:val="13"/>
  </w:num>
  <w:num w:numId="13">
    <w:abstractNumId w:val="12"/>
  </w:num>
  <w:num w:numId="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0F"/>
    <w:rsid w:val="00004C3C"/>
    <w:rsid w:val="00007608"/>
    <w:rsid w:val="00013325"/>
    <w:rsid w:val="000403C9"/>
    <w:rsid w:val="0005152F"/>
    <w:rsid w:val="00057716"/>
    <w:rsid w:val="00057973"/>
    <w:rsid w:val="00061D96"/>
    <w:rsid w:val="00072A04"/>
    <w:rsid w:val="00075F0A"/>
    <w:rsid w:val="000867D0"/>
    <w:rsid w:val="000906F0"/>
    <w:rsid w:val="000A7328"/>
    <w:rsid w:val="000B44FE"/>
    <w:rsid w:val="000B4CFE"/>
    <w:rsid w:val="000B6C9E"/>
    <w:rsid w:val="000C3297"/>
    <w:rsid w:val="000D270F"/>
    <w:rsid w:val="000D450B"/>
    <w:rsid w:val="000E2769"/>
    <w:rsid w:val="000E5CF6"/>
    <w:rsid w:val="000E7EA0"/>
    <w:rsid w:val="000F5B2D"/>
    <w:rsid w:val="0010115A"/>
    <w:rsid w:val="00127D40"/>
    <w:rsid w:val="00142924"/>
    <w:rsid w:val="00161848"/>
    <w:rsid w:val="00183FE7"/>
    <w:rsid w:val="001871A5"/>
    <w:rsid w:val="0019771E"/>
    <w:rsid w:val="001A090B"/>
    <w:rsid w:val="001B0516"/>
    <w:rsid w:val="001B1E10"/>
    <w:rsid w:val="001C490F"/>
    <w:rsid w:val="001D0314"/>
    <w:rsid w:val="001D3BFF"/>
    <w:rsid w:val="001D510E"/>
    <w:rsid w:val="001D7A8E"/>
    <w:rsid w:val="001F0E49"/>
    <w:rsid w:val="001F220E"/>
    <w:rsid w:val="0021444B"/>
    <w:rsid w:val="00220BFD"/>
    <w:rsid w:val="002270F9"/>
    <w:rsid w:val="002375F1"/>
    <w:rsid w:val="00240E3C"/>
    <w:rsid w:val="00241139"/>
    <w:rsid w:val="002741FA"/>
    <w:rsid w:val="00277D6E"/>
    <w:rsid w:val="00280F02"/>
    <w:rsid w:val="002A1AF4"/>
    <w:rsid w:val="002B4A83"/>
    <w:rsid w:val="002B6B1E"/>
    <w:rsid w:val="002C4FD0"/>
    <w:rsid w:val="002C7558"/>
    <w:rsid w:val="002D076E"/>
    <w:rsid w:val="002D1365"/>
    <w:rsid w:val="002D6A3B"/>
    <w:rsid w:val="002E71BF"/>
    <w:rsid w:val="002F681D"/>
    <w:rsid w:val="00305CEA"/>
    <w:rsid w:val="00313F4C"/>
    <w:rsid w:val="00314D5D"/>
    <w:rsid w:val="003200EA"/>
    <w:rsid w:val="00320B2B"/>
    <w:rsid w:val="003245EB"/>
    <w:rsid w:val="00333490"/>
    <w:rsid w:val="00336125"/>
    <w:rsid w:val="0035127C"/>
    <w:rsid w:val="00372F91"/>
    <w:rsid w:val="00377FB9"/>
    <w:rsid w:val="003E16B7"/>
    <w:rsid w:val="003E6489"/>
    <w:rsid w:val="003F7C48"/>
    <w:rsid w:val="0040492F"/>
    <w:rsid w:val="0041066E"/>
    <w:rsid w:val="00410941"/>
    <w:rsid w:val="00417818"/>
    <w:rsid w:val="0042243C"/>
    <w:rsid w:val="0043016E"/>
    <w:rsid w:val="004352E9"/>
    <w:rsid w:val="004429DF"/>
    <w:rsid w:val="00471A51"/>
    <w:rsid w:val="00493018"/>
    <w:rsid w:val="00495CE6"/>
    <w:rsid w:val="004B78F9"/>
    <w:rsid w:val="004E761D"/>
    <w:rsid w:val="0050027E"/>
    <w:rsid w:val="005108FB"/>
    <w:rsid w:val="00535A03"/>
    <w:rsid w:val="00541E41"/>
    <w:rsid w:val="0056108B"/>
    <w:rsid w:val="005B0B7E"/>
    <w:rsid w:val="005B652F"/>
    <w:rsid w:val="005C43C9"/>
    <w:rsid w:val="00602934"/>
    <w:rsid w:val="0061563D"/>
    <w:rsid w:val="0066498E"/>
    <w:rsid w:val="0066653A"/>
    <w:rsid w:val="00667282"/>
    <w:rsid w:val="00673975"/>
    <w:rsid w:val="00676397"/>
    <w:rsid w:val="006772B2"/>
    <w:rsid w:val="00681BE6"/>
    <w:rsid w:val="00684D9F"/>
    <w:rsid w:val="00693E6D"/>
    <w:rsid w:val="006A3936"/>
    <w:rsid w:val="006C03F9"/>
    <w:rsid w:val="006C5AFD"/>
    <w:rsid w:val="006F18E9"/>
    <w:rsid w:val="006F4A7B"/>
    <w:rsid w:val="00707D51"/>
    <w:rsid w:val="0072250F"/>
    <w:rsid w:val="00731018"/>
    <w:rsid w:val="0077709B"/>
    <w:rsid w:val="0077755C"/>
    <w:rsid w:val="00796D3E"/>
    <w:rsid w:val="007A131E"/>
    <w:rsid w:val="007A3D16"/>
    <w:rsid w:val="007B345B"/>
    <w:rsid w:val="007B68D8"/>
    <w:rsid w:val="007E0918"/>
    <w:rsid w:val="007E1925"/>
    <w:rsid w:val="007E2C97"/>
    <w:rsid w:val="007E3C51"/>
    <w:rsid w:val="007F4E17"/>
    <w:rsid w:val="00805E06"/>
    <w:rsid w:val="00806328"/>
    <w:rsid w:val="0081542B"/>
    <w:rsid w:val="008338BE"/>
    <w:rsid w:val="00835F10"/>
    <w:rsid w:val="00866CF8"/>
    <w:rsid w:val="008A110D"/>
    <w:rsid w:val="008A6805"/>
    <w:rsid w:val="008C4B12"/>
    <w:rsid w:val="008D1AC4"/>
    <w:rsid w:val="008E3D88"/>
    <w:rsid w:val="00920878"/>
    <w:rsid w:val="00930732"/>
    <w:rsid w:val="00942405"/>
    <w:rsid w:val="009447F0"/>
    <w:rsid w:val="0095555B"/>
    <w:rsid w:val="009927E2"/>
    <w:rsid w:val="00992C38"/>
    <w:rsid w:val="0099779E"/>
    <w:rsid w:val="009B3B25"/>
    <w:rsid w:val="009B6177"/>
    <w:rsid w:val="009C44D6"/>
    <w:rsid w:val="009D1C44"/>
    <w:rsid w:val="009E44F7"/>
    <w:rsid w:val="00A00001"/>
    <w:rsid w:val="00A04943"/>
    <w:rsid w:val="00A06E3A"/>
    <w:rsid w:val="00A1005D"/>
    <w:rsid w:val="00A3129E"/>
    <w:rsid w:val="00A327F1"/>
    <w:rsid w:val="00A40075"/>
    <w:rsid w:val="00A42E33"/>
    <w:rsid w:val="00A53D94"/>
    <w:rsid w:val="00A6191E"/>
    <w:rsid w:val="00A7185C"/>
    <w:rsid w:val="00A74D48"/>
    <w:rsid w:val="00A85820"/>
    <w:rsid w:val="00AA66C7"/>
    <w:rsid w:val="00AB0651"/>
    <w:rsid w:val="00AB748A"/>
    <w:rsid w:val="00AE252D"/>
    <w:rsid w:val="00B02BBC"/>
    <w:rsid w:val="00B03896"/>
    <w:rsid w:val="00B228C8"/>
    <w:rsid w:val="00B276BC"/>
    <w:rsid w:val="00B4391C"/>
    <w:rsid w:val="00B45E2C"/>
    <w:rsid w:val="00B50914"/>
    <w:rsid w:val="00B671C3"/>
    <w:rsid w:val="00BC290B"/>
    <w:rsid w:val="00BC49CC"/>
    <w:rsid w:val="00BD6674"/>
    <w:rsid w:val="00BD780F"/>
    <w:rsid w:val="00BE2ABF"/>
    <w:rsid w:val="00BE3381"/>
    <w:rsid w:val="00BE5C5F"/>
    <w:rsid w:val="00BF1048"/>
    <w:rsid w:val="00BF47E4"/>
    <w:rsid w:val="00C0372C"/>
    <w:rsid w:val="00C05AAC"/>
    <w:rsid w:val="00C05FC1"/>
    <w:rsid w:val="00C15F35"/>
    <w:rsid w:val="00C21CD7"/>
    <w:rsid w:val="00C22A2C"/>
    <w:rsid w:val="00C25B5D"/>
    <w:rsid w:val="00C323A2"/>
    <w:rsid w:val="00C3660F"/>
    <w:rsid w:val="00C62CE0"/>
    <w:rsid w:val="00C941C3"/>
    <w:rsid w:val="00CA1B30"/>
    <w:rsid w:val="00CA2472"/>
    <w:rsid w:val="00CB3648"/>
    <w:rsid w:val="00CC1DD3"/>
    <w:rsid w:val="00CC67CD"/>
    <w:rsid w:val="00CC6CFB"/>
    <w:rsid w:val="00CD0858"/>
    <w:rsid w:val="00CE5EA0"/>
    <w:rsid w:val="00D1094A"/>
    <w:rsid w:val="00D1363E"/>
    <w:rsid w:val="00D263C9"/>
    <w:rsid w:val="00D30406"/>
    <w:rsid w:val="00D40389"/>
    <w:rsid w:val="00D46BC9"/>
    <w:rsid w:val="00D70A14"/>
    <w:rsid w:val="00D72A93"/>
    <w:rsid w:val="00D74640"/>
    <w:rsid w:val="00D76531"/>
    <w:rsid w:val="00D93D76"/>
    <w:rsid w:val="00D940BC"/>
    <w:rsid w:val="00DA233F"/>
    <w:rsid w:val="00DB1B51"/>
    <w:rsid w:val="00DD0038"/>
    <w:rsid w:val="00DE6E95"/>
    <w:rsid w:val="00DF5AE3"/>
    <w:rsid w:val="00E02DB1"/>
    <w:rsid w:val="00E2563D"/>
    <w:rsid w:val="00E26847"/>
    <w:rsid w:val="00E32D07"/>
    <w:rsid w:val="00E34948"/>
    <w:rsid w:val="00E37310"/>
    <w:rsid w:val="00E548DC"/>
    <w:rsid w:val="00E56CEC"/>
    <w:rsid w:val="00E6612A"/>
    <w:rsid w:val="00E72AE8"/>
    <w:rsid w:val="00E770F4"/>
    <w:rsid w:val="00E8649F"/>
    <w:rsid w:val="00E90A79"/>
    <w:rsid w:val="00EC7889"/>
    <w:rsid w:val="00ED1E19"/>
    <w:rsid w:val="00ED3AAD"/>
    <w:rsid w:val="00F46C9A"/>
    <w:rsid w:val="00F545B8"/>
    <w:rsid w:val="00F62A61"/>
    <w:rsid w:val="00F65821"/>
    <w:rsid w:val="00F6688E"/>
    <w:rsid w:val="00F73393"/>
    <w:rsid w:val="00F77AA9"/>
    <w:rsid w:val="00F81908"/>
    <w:rsid w:val="00F97B8B"/>
    <w:rsid w:val="00FA51FF"/>
    <w:rsid w:val="00FA5F68"/>
    <w:rsid w:val="00FC6F54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  <w:style w:type="character" w:customStyle="1" w:styleId="grame">
    <w:name w:val="grame"/>
    <w:basedOn w:val="a0"/>
    <w:rsid w:val="00F6688E"/>
  </w:style>
  <w:style w:type="character" w:customStyle="1" w:styleId="spelle">
    <w:name w:val="spelle"/>
    <w:basedOn w:val="a0"/>
    <w:rsid w:val="00C22A2C"/>
  </w:style>
  <w:style w:type="paragraph" w:customStyle="1" w:styleId="FR5">
    <w:name w:val="FR5"/>
    <w:rsid w:val="00930732"/>
    <w:pPr>
      <w:widowControl w:val="0"/>
    </w:pPr>
    <w:rPr>
      <w:rFonts w:ascii="Arial" w:hAnsi="Arial"/>
      <w:snapToGrid w:val="0"/>
      <w:sz w:val="12"/>
    </w:rPr>
  </w:style>
  <w:style w:type="paragraph" w:customStyle="1" w:styleId="FR2">
    <w:name w:val="FR2"/>
    <w:rsid w:val="00806328"/>
    <w:pPr>
      <w:widowControl w:val="0"/>
      <w:ind w:firstLine="720"/>
      <w:jc w:val="both"/>
    </w:pPr>
    <w:rPr>
      <w:snapToGrid w:val="0"/>
    </w:rPr>
  </w:style>
  <w:style w:type="character" w:customStyle="1" w:styleId="keyword">
    <w:name w:val="keyword"/>
    <w:basedOn w:val="a0"/>
    <w:rsid w:val="00BF1048"/>
  </w:style>
  <w:style w:type="paragraph" w:customStyle="1" w:styleId="msolistparagraph0">
    <w:name w:val="msolistparagraph"/>
    <w:basedOn w:val="a"/>
    <w:rsid w:val="000867D0"/>
    <w:pPr>
      <w:spacing w:before="100" w:beforeAutospacing="1" w:after="100" w:afterAutospacing="1"/>
    </w:pPr>
  </w:style>
  <w:style w:type="paragraph" w:customStyle="1" w:styleId="msolistparagraphcxspmiddle">
    <w:name w:val="msolistparagraphcxspmiddle"/>
    <w:basedOn w:val="a"/>
    <w:rsid w:val="000867D0"/>
    <w:pPr>
      <w:spacing w:before="100" w:beforeAutospacing="1" w:after="100" w:afterAutospacing="1"/>
    </w:pPr>
  </w:style>
  <w:style w:type="paragraph" w:customStyle="1" w:styleId="msolistparagraphcxsplast">
    <w:name w:val="msolistparagraphcxsplast"/>
    <w:basedOn w:val="a"/>
    <w:rsid w:val="000867D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  <w:style w:type="character" w:customStyle="1" w:styleId="grame">
    <w:name w:val="grame"/>
    <w:basedOn w:val="a0"/>
    <w:rsid w:val="00F6688E"/>
  </w:style>
  <w:style w:type="character" w:customStyle="1" w:styleId="spelle">
    <w:name w:val="spelle"/>
    <w:basedOn w:val="a0"/>
    <w:rsid w:val="00C22A2C"/>
  </w:style>
  <w:style w:type="paragraph" w:customStyle="1" w:styleId="FR5">
    <w:name w:val="FR5"/>
    <w:rsid w:val="00930732"/>
    <w:pPr>
      <w:widowControl w:val="0"/>
    </w:pPr>
    <w:rPr>
      <w:rFonts w:ascii="Arial" w:hAnsi="Arial"/>
      <w:snapToGrid w:val="0"/>
      <w:sz w:val="12"/>
    </w:rPr>
  </w:style>
  <w:style w:type="paragraph" w:customStyle="1" w:styleId="FR2">
    <w:name w:val="FR2"/>
    <w:rsid w:val="00806328"/>
    <w:pPr>
      <w:widowControl w:val="0"/>
      <w:ind w:firstLine="720"/>
      <w:jc w:val="both"/>
    </w:pPr>
    <w:rPr>
      <w:snapToGrid w:val="0"/>
    </w:rPr>
  </w:style>
  <w:style w:type="character" w:customStyle="1" w:styleId="keyword">
    <w:name w:val="keyword"/>
    <w:basedOn w:val="a0"/>
    <w:rsid w:val="00BF1048"/>
  </w:style>
  <w:style w:type="paragraph" w:customStyle="1" w:styleId="msolistparagraph0">
    <w:name w:val="msolistparagraph"/>
    <w:basedOn w:val="a"/>
    <w:rsid w:val="000867D0"/>
    <w:pPr>
      <w:spacing w:before="100" w:beforeAutospacing="1" w:after="100" w:afterAutospacing="1"/>
    </w:pPr>
  </w:style>
  <w:style w:type="paragraph" w:customStyle="1" w:styleId="msolistparagraphcxspmiddle">
    <w:name w:val="msolistparagraphcxspmiddle"/>
    <w:basedOn w:val="a"/>
    <w:rsid w:val="000867D0"/>
    <w:pPr>
      <w:spacing w:before="100" w:beforeAutospacing="1" w:after="100" w:afterAutospacing="1"/>
    </w:pPr>
  </w:style>
  <w:style w:type="paragraph" w:customStyle="1" w:styleId="msolistparagraphcxsplast">
    <w:name w:val="msolistparagraphcxsplast"/>
    <w:basedOn w:val="a"/>
    <w:rsid w:val="000867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2643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BSUIR</Company>
  <LinksUpToDate>false</LinksUpToDate>
  <CharactersWithSpaces>17677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1-400-M</dc:creator>
  <cp:lastModifiedBy>Admin</cp:lastModifiedBy>
  <cp:revision>2</cp:revision>
  <dcterms:created xsi:type="dcterms:W3CDTF">2017-02-08T21:24:00Z</dcterms:created>
  <dcterms:modified xsi:type="dcterms:W3CDTF">2017-02-08T21:24:00Z</dcterms:modified>
</cp:coreProperties>
</file>