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Промышленность выпускает большое количество различных БТ, отличающихся своими параметрами, конструктивным исполнением, используемыми материалами, технологией изготовления и </w:t>
      </w:r>
      <w:proofErr w:type="gramStart"/>
      <w:r w:rsidRPr="0067668E">
        <w:rPr>
          <w:rFonts w:ascii="Verdana" w:hAnsi="Verdana"/>
          <w:color w:val="424242"/>
          <w:lang w:val="ru-RU"/>
        </w:rPr>
        <w:t>др. Например</w:t>
      </w:r>
      <w:proofErr w:type="gramEnd"/>
      <w:r w:rsidRPr="0067668E">
        <w:rPr>
          <w:rFonts w:ascii="Verdana" w:hAnsi="Verdana"/>
          <w:color w:val="424242"/>
          <w:lang w:val="ru-RU"/>
        </w:rPr>
        <w:t>, диапазон мощности усиленных сигналов для различных транзисторов простирается от десятков милливатт до сотен ватт, диапазон частот усиливаемых сигналов – от сотен килогерц до десятков гигагерц и т.д.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В пределах диапазонов основных физических параметров все транзисторы подразделяются на ряд групп: по диапазону частот на низкочастотные (НЧ) – до 30 </w:t>
      </w:r>
      <w:proofErr w:type="spellStart"/>
      <w:r w:rsidRPr="0067668E">
        <w:rPr>
          <w:rFonts w:ascii="Verdana" w:hAnsi="Verdana"/>
          <w:color w:val="424242"/>
          <w:lang w:val="ru-RU"/>
        </w:rPr>
        <w:t>Мгц</w:t>
      </w:r>
      <w:proofErr w:type="spellEnd"/>
      <w:r w:rsidRPr="0067668E">
        <w:rPr>
          <w:rFonts w:ascii="Verdana" w:hAnsi="Verdana"/>
          <w:color w:val="424242"/>
          <w:lang w:val="ru-RU"/>
        </w:rPr>
        <w:t>, высокочастотные (ВЧ) – до300 МГц, сверхвысокочастотные (СВЧ) - свыше 300 МГц.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По мощности БТ подразделяются на маломощные – до 0,3 Вт, средней мощности – до 1,5 Вт, мощные транзисторы – свыше 1,5 Вт.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Параметры транзисторов целиком и полностью определяются технологией их изготовления и используемыми материалами.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До 1960 г. выпускались, в основном,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сплавные</w:t>
      </w:r>
      <w:r>
        <w:rPr>
          <w:rFonts w:ascii="Verdana" w:hAnsi="Verdana"/>
          <w:i/>
          <w:iCs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германиевые </w:t>
      </w:r>
      <w:proofErr w:type="gramStart"/>
      <w:r w:rsidRPr="0067668E">
        <w:rPr>
          <w:rFonts w:ascii="Verdana" w:hAnsi="Verdana"/>
          <w:color w:val="424242"/>
          <w:lang w:val="ru-RU"/>
        </w:rPr>
        <w:t>транзисторы,.</w:t>
      </w:r>
      <w:proofErr w:type="gramEnd"/>
      <w:r w:rsidRPr="0067668E">
        <w:rPr>
          <w:rFonts w:ascii="Verdana" w:hAnsi="Verdana"/>
          <w:color w:val="424242"/>
          <w:lang w:val="ru-RU"/>
        </w:rPr>
        <w:t xml:space="preserve"> Сплавные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 </w:t>
      </w:r>
      <w:r w:rsidRPr="0067668E">
        <w:rPr>
          <w:rFonts w:ascii="Verdana" w:hAnsi="Verdana"/>
          <w:color w:val="424242"/>
          <w:lang w:val="ru-RU"/>
        </w:rPr>
        <w:t>переходы образовывались в результате вплавления в исходный кристалл полупроводника донорных и акцепторных легирующих примесей. Из-за неупорядоченности границ их вплавления толщина базы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W </w:t>
      </w:r>
      <w:r w:rsidRPr="0067668E">
        <w:rPr>
          <w:rFonts w:ascii="Verdana" w:hAnsi="Verdana"/>
          <w:color w:val="424242"/>
          <w:lang w:val="ru-RU"/>
        </w:rPr>
        <w:t>таких транзисторов составляла более 30 мкм, а также возникали дефекты кристаллической решётки и краевые эффекты. В результате запрещённая зона заселялась нежелательными примесными состояниями. Кроме того, эта технология не позволяла получать большие площади переходов, а значит, большие значения токов транзисторов. В итоге, сплавные БТ имели коэффициенты усиления тока не более 60-ти, их частотный диапазон не превышал нескольких мегагерц, а предельные значения токов транзистора – нескольких десятков ампер.</w:t>
      </w:r>
    </w:p>
    <w:p w:rsid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Современные транзисторы изготавливаются, по большей части, из кремния по </w:t>
      </w:r>
      <w:proofErr w:type="spellStart"/>
      <w:r w:rsidRPr="0067668E">
        <w:rPr>
          <w:rFonts w:ascii="Verdana" w:hAnsi="Verdana"/>
          <w:color w:val="424242"/>
          <w:lang w:val="ru-RU"/>
        </w:rPr>
        <w:t>эпитаксиально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-планарной технологии - ЭПТ (эпитаксия (от греч. эпи — на, таксис — упорядоченность, планарная от англ. </w:t>
      </w:r>
      <w:r>
        <w:rPr>
          <w:rFonts w:ascii="Verdana" w:hAnsi="Verdana"/>
          <w:color w:val="424242"/>
        </w:rPr>
        <w:t>plane</w:t>
      </w:r>
      <w:r w:rsidRPr="0067668E">
        <w:rPr>
          <w:rFonts w:ascii="Verdana" w:hAnsi="Verdana"/>
          <w:color w:val="424242"/>
          <w:lang w:val="ru-RU"/>
        </w:rPr>
        <w:t xml:space="preserve"> - плоскость). ЭПТ - это закономерно ориентированное наращивание кристаллов одного вещества на поверхность другого в виде тонких плёнок. Хороший контакт плёнки одного вещества с поверхностью другого достигается, если близки по величине основные параметры кристаллических решёток веществ, из которых наиболее важным является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 xml:space="preserve">постоянная решётки </w:t>
      </w:r>
      <w:r>
        <w:rPr>
          <w:rFonts w:ascii="Verdana" w:hAnsi="Verdana"/>
          <w:i/>
          <w:iCs/>
          <w:color w:val="424242"/>
        </w:rPr>
        <w:t>a </w:t>
      </w:r>
      <w:r w:rsidRPr="0067668E">
        <w:rPr>
          <w:rFonts w:ascii="Verdana" w:hAnsi="Verdana"/>
          <w:color w:val="424242"/>
          <w:lang w:val="ru-RU"/>
        </w:rPr>
        <w:t xml:space="preserve">– расстояние между ядрами атомов. Явление эпитаксии широко используется в современной микроэлектронике при выращивании тонких монокристаллических полупроводниковых пленок. Путем последовательного наращивания эпитаксиальных пленок </w:t>
      </w:r>
      <w:r w:rsidRPr="0067668E">
        <w:rPr>
          <w:rFonts w:ascii="Verdana" w:hAnsi="Verdana"/>
          <w:color w:val="424242"/>
          <w:lang w:val="ru-RU"/>
        </w:rPr>
        <w:lastRenderedPageBreak/>
        <w:t>образуются так называемые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сандвич-структуры</w:t>
      </w:r>
      <w:r w:rsidRPr="0067668E">
        <w:rPr>
          <w:rFonts w:ascii="Verdana" w:hAnsi="Verdana"/>
          <w:color w:val="424242"/>
          <w:lang w:val="ru-RU"/>
        </w:rPr>
        <w:t xml:space="preserve">, на основе которых создаются транзисторы, интегральные микросхемы и т.п. На 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 xml:space="preserve">2а изображён поперечный разрез фрагмента подложки (о подложке см. ниже), на котором сформирован с помощью ЭПТ биполярный транзистор, на рис.Т2б приведен вид этого фрагмента сверху (в плане), на котором указаны границы эмиттерной и базовой областей с указанием геометрических размеров эмиттера – длины </w:t>
      </w:r>
      <w:proofErr w:type="spellStart"/>
      <w:r w:rsidRPr="0067668E">
        <w:rPr>
          <w:rFonts w:ascii="Verdana" w:hAnsi="Verdana"/>
          <w:color w:val="424242"/>
          <w:lang w:val="ru-RU"/>
        </w:rPr>
        <w:t>а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proofErr w:type="spellEnd"/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и ширины </w:t>
      </w:r>
      <w:proofErr w:type="spellStart"/>
      <w:r w:rsidRPr="0067668E">
        <w:rPr>
          <w:rFonts w:ascii="Verdana" w:hAnsi="Verdana"/>
          <w:color w:val="424242"/>
          <w:lang w:val="ru-RU"/>
        </w:rPr>
        <w:t>б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proofErr w:type="spellEnd"/>
      <w:r w:rsidRPr="0067668E">
        <w:rPr>
          <w:rFonts w:ascii="Verdana" w:hAnsi="Verdana"/>
          <w:color w:val="424242"/>
          <w:lang w:val="ru-RU"/>
        </w:rPr>
        <w:t>, а также конфигурация их контактных площадок. На рис. Т2в приведены распределения концентраций примесей по координате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x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(см. 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2а) в направлении от эмиттера к подложке для сечения, проходящего через эмиттерную область (</w:t>
      </w:r>
      <w:r>
        <w:rPr>
          <w:rFonts w:ascii="Verdana" w:hAnsi="Verdana"/>
          <w:i/>
          <w:iCs/>
          <w:color w:val="424242"/>
        </w:rPr>
        <w:t>x</w:t>
      </w:r>
      <w:r w:rsidRPr="0067668E">
        <w:rPr>
          <w:rFonts w:ascii="Verdana" w:hAnsi="Verdana"/>
          <w:color w:val="424242"/>
          <w:lang w:val="ru-RU"/>
        </w:rPr>
        <w:t>=0 на эмиттерном контакте). Здесь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noProof/>
          <w:color w:val="424242"/>
        </w:rPr>
        <w:drawing>
          <wp:inline distT="0" distB="0" distL="0" distR="0">
            <wp:extent cx="866775" cy="238125"/>
            <wp:effectExtent l="0" t="0" r="9525" b="9525"/>
            <wp:docPr id="2" name="Picture 2" descr="http://ok-t.ru/mydocxru/baza1/817313026441.files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mydocxru/baza1/817313026441.files/image0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концентрации доноров в эмиттере, коллекторе, подложке соответственно;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noProof/>
          <w:color w:val="424242"/>
        </w:rPr>
        <w:drawing>
          <wp:inline distT="0" distB="0" distL="0" distR="0">
            <wp:extent cx="228600" cy="238125"/>
            <wp:effectExtent l="0" t="0" r="0" b="9525"/>
            <wp:docPr id="1" name="Picture 1" descr="http://ok-t.ru/mydocxru/baza1/817313026441.files/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mydocxru/baza1/817313026441.files/image0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– концентрация акцепторов в базе.</w:t>
      </w:r>
    </w:p>
    <w:p w:rsid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</w:p>
    <w:p w:rsidR="0067668E" w:rsidRP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Рассмотрим процесс создания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</w:rPr>
        <w:t>n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>-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</w:rPr>
        <w:t>p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>-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</w:rPr>
        <w:t>n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транзистора с использованием ЭПТ.</w:t>
      </w:r>
    </w:p>
    <w:p w:rsidR="0067668E" w:rsidRP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Исходный материал получают в процессе плавления шихты, в которой помимо самого полупроводника, например, кремния, содержатся легирующие примеси, определяющие тип проводимости примесного полупроводника. Далее из расплава вытягивают по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 xml:space="preserve">методу </w:t>
      </w:r>
      <w:proofErr w:type="spellStart"/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>Чохральского</w:t>
      </w:r>
      <w:proofErr w:type="spellEnd"/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слитки цилиндрической формы диаметром около 100 мм, которые затем распиливают на тонкие – толщиной один миллиметр – пластины, называемые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>подложками.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Подложка является несущей конструкцией, на которой создаются структуры транзисторов. Содержание легирующей донорной примеси в подложке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noProof/>
          <w:color w:val="424242"/>
          <w:sz w:val="24"/>
          <w:szCs w:val="24"/>
        </w:rPr>
        <w:drawing>
          <wp:inline distT="0" distB="0" distL="0" distR="0">
            <wp:extent cx="238125" cy="238125"/>
            <wp:effectExtent l="0" t="0" r="9525" b="9525"/>
            <wp:docPr id="4" name="Picture 4" descr="http://ok-t.ru/mydocxru/baza1/817313026441.files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mydocxru/baza1/817313026441.files/image0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порядка 10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vertAlign w:val="superscript"/>
          <w:lang w:val="ru-RU"/>
        </w:rPr>
        <w:t>18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–10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vertAlign w:val="superscript"/>
          <w:lang w:val="ru-RU"/>
        </w:rPr>
        <w:t>19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см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vertAlign w:val="superscript"/>
          <w:lang w:val="ru-RU"/>
        </w:rPr>
        <w:t>-3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и приближается к пределу растворимости примеси в собственном кремнии, т.е. примерно один атом примеси на 100 – 1000 атомов собственного кремния. Как следствие, материал подложки имеет высокую электропроводность, являясь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val="ru-RU"/>
        </w:rPr>
        <w:t>низкоомным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материалом. Тип проводимости таких сильно легированных материалов в зависимости от типа примеси обозначается как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</w:rPr>
        <w:t>n</w:t>
      </w:r>
      <w:r w:rsidRPr="0067668E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vertAlign w:val="superscript"/>
          <w:lang w:val="ru-RU"/>
        </w:rPr>
        <w:t>+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или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</w:rPr>
        <w:t>p</w:t>
      </w:r>
      <w:r w:rsidRPr="0067668E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vertAlign w:val="superscript"/>
          <w:lang w:val="ru-RU"/>
        </w:rPr>
        <w:t>+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.</w:t>
      </w:r>
    </w:p>
    <w:p w:rsidR="0067668E" w:rsidRP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 xml:space="preserve">Далее подложка шлифуется, полируется, подвергается тонким методам очистки и обезжиривания, что позволяет получить поверхность с минимальным количеством дефектов. Подготовка подложек не связана с изготовлением </w:t>
      </w:r>
      <w:proofErr w:type="gramStart"/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каких либо</w:t>
      </w:r>
      <w:proofErr w:type="gramEnd"/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 xml:space="preserve"> конкретных приборов или устройств и является общей стартовой операцией. На подложке, как правило, формируется много однотипных структур - транзисторов, микросхем или иных устройств.</w:t>
      </w: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lastRenderedPageBreak/>
        <w:t>После подготовки подложки на её поверхности выращивается эпитаксиальный слой кремния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</w:rPr>
        <w:t> </w:t>
      </w:r>
      <w:r w:rsidRPr="0067668E">
        <w:rPr>
          <w:rFonts w:ascii="Verdana" w:eastAsia="Times New Roman" w:hAnsi="Verdana" w:cs="Times New Roman"/>
          <w:i/>
          <w:iCs/>
          <w:color w:val="424242"/>
          <w:sz w:val="24"/>
          <w:szCs w:val="24"/>
        </w:rPr>
        <w:t>n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-типа проводимости толщиной несколько</w:t>
      </w:r>
      <w:r w:rsidRPr="0067668E">
        <w:rPr>
          <w:rFonts w:ascii="Tahoma" w:hAnsi="Tahoma" w:cs="Tahoma"/>
          <w:color w:val="424242"/>
          <w:sz w:val="20"/>
          <w:szCs w:val="20"/>
          <w:shd w:val="clear" w:color="auto" w:fill="FFFFFF"/>
          <w:lang w:val="ru-RU"/>
        </w:rPr>
        <w:t xml:space="preserve"> </w:t>
      </w:r>
      <w:r w:rsidRPr="0067668E"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  <w:t>микрометров. В этом слое и создаётся структура будущего транзистора. Одновременно этот слой является коллектором транзистора. Содержание в нём примеси NДК существенно меньше, чем в подложке.</w:t>
      </w: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</w:p>
    <w:p w:rsidR="0067668E" w:rsidRPr="0067668E" w:rsidRDefault="0067668E" w:rsidP="0067668E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val="ru-RU"/>
        </w:rPr>
      </w:pPr>
      <w:bookmarkStart w:id="0" w:name="_GoBack"/>
      <w:bookmarkEnd w:id="0"/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</w:tblGrid>
      <w:tr w:rsidR="0067668E" w:rsidRPr="0067668E" w:rsidTr="00676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68E" w:rsidRPr="0067668E" w:rsidRDefault="0067668E" w:rsidP="0067668E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0"/>
                <w:szCs w:val="20"/>
                <w:lang w:val="ru-RU"/>
              </w:rPr>
            </w:pPr>
            <w:r w:rsidRPr="0067668E">
              <w:rPr>
                <w:rFonts w:ascii="Tahoma" w:eastAsia="Times New Roman" w:hAnsi="Tahoma" w:cs="Tahoma"/>
                <w:color w:val="424242"/>
                <w:sz w:val="20"/>
                <w:szCs w:val="20"/>
                <w:lang w:val="ru-RU"/>
              </w:rPr>
              <w:lastRenderedPageBreak/>
              <w:t>Рис.Т2.Структура планарного транзистора</w:t>
            </w:r>
          </w:p>
        </w:tc>
      </w:tr>
    </w:tbl>
    <w:p w:rsid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Tahoma" w:hAnsi="Tahoma" w:cs="Tahoma"/>
          <w:color w:val="424242"/>
          <w:sz w:val="20"/>
          <w:szCs w:val="20"/>
          <w:shd w:val="clear" w:color="auto" w:fill="FFFFFF"/>
          <w:lang w:val="ru-RU"/>
        </w:rPr>
      </w:pPr>
      <w:r w:rsidRPr="0067668E">
        <w:rPr>
          <w:noProof/>
        </w:rPr>
        <w:drawing>
          <wp:inline distT="0" distB="0" distL="0" distR="0">
            <wp:extent cx="2809875" cy="6629400"/>
            <wp:effectExtent l="0" t="0" r="9525" b="0"/>
            <wp:docPr id="3" name="Picture 3" descr="http://ok-t.ru/mydocxru/baza1/817313026441.files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mydocxru/baza1/817313026441.files/image0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68E">
        <w:rPr>
          <w:rFonts w:ascii="Tahoma" w:hAnsi="Tahoma" w:cs="Tahoma"/>
          <w:color w:val="424242"/>
          <w:sz w:val="20"/>
          <w:szCs w:val="20"/>
          <w:shd w:val="clear" w:color="auto" w:fill="FFFFFF"/>
        </w:rPr>
        <w:t> 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На полученную эпитаксиальную структуру наносят тонкий защитный (маскирующий) слой диоксида кремния </w:t>
      </w:r>
      <w:proofErr w:type="spellStart"/>
      <w:r>
        <w:rPr>
          <w:rFonts w:ascii="Verdana" w:hAnsi="Verdana"/>
          <w:color w:val="424242"/>
        </w:rPr>
        <w:t>SiO</w:t>
      </w:r>
      <w:proofErr w:type="spellEnd"/>
      <w:r w:rsidRPr="0067668E">
        <w:rPr>
          <w:rFonts w:ascii="Verdana" w:hAnsi="Verdana"/>
          <w:color w:val="424242"/>
          <w:vertAlign w:val="subscript"/>
          <w:lang w:val="ru-RU"/>
        </w:rPr>
        <w:t>2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(либо нитрида кремния </w:t>
      </w:r>
      <w:r>
        <w:rPr>
          <w:rFonts w:ascii="Verdana" w:hAnsi="Verdana"/>
          <w:color w:val="424242"/>
        </w:rPr>
        <w:t>Si</w:t>
      </w:r>
      <w:r w:rsidRPr="0067668E">
        <w:rPr>
          <w:rFonts w:ascii="Verdana" w:hAnsi="Verdana"/>
          <w:color w:val="424242"/>
          <w:vertAlign w:val="subscript"/>
          <w:lang w:val="ru-RU"/>
        </w:rPr>
        <w:t>3</w:t>
      </w:r>
      <w:r>
        <w:rPr>
          <w:rFonts w:ascii="Verdana" w:hAnsi="Verdana"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4</w:t>
      </w:r>
      <w:r w:rsidRPr="0067668E">
        <w:rPr>
          <w:rFonts w:ascii="Verdana" w:hAnsi="Verdana"/>
          <w:color w:val="424242"/>
          <w:lang w:val="ru-RU"/>
        </w:rPr>
        <w:t>) путем термического окисления кремния в среде кислорода при температуре 50 – 1200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color w:val="424242"/>
          <w:vertAlign w:val="superscript"/>
          <w:lang w:val="ru-RU"/>
        </w:rPr>
        <w:t>о</w:t>
      </w:r>
      <w:r w:rsidRPr="0067668E">
        <w:rPr>
          <w:rFonts w:ascii="Verdana" w:hAnsi="Verdana"/>
          <w:color w:val="424242"/>
          <w:lang w:val="ru-RU"/>
        </w:rPr>
        <w:t>С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. Оксид кремния </w:t>
      </w:r>
      <w:r w:rsidRPr="0067668E">
        <w:rPr>
          <w:rFonts w:ascii="Verdana" w:hAnsi="Verdana"/>
          <w:color w:val="424242"/>
          <w:lang w:val="ru-RU"/>
        </w:rPr>
        <w:lastRenderedPageBreak/>
        <w:t xml:space="preserve">является диэлектриком, он </w:t>
      </w:r>
      <w:proofErr w:type="spellStart"/>
      <w:r w:rsidRPr="0067668E">
        <w:rPr>
          <w:rFonts w:ascii="Verdana" w:hAnsi="Verdana"/>
          <w:color w:val="424242"/>
          <w:lang w:val="ru-RU"/>
        </w:rPr>
        <w:t>гидрофобен</w:t>
      </w:r>
      <w:proofErr w:type="spellEnd"/>
      <w:r w:rsidRPr="0067668E">
        <w:rPr>
          <w:rFonts w:ascii="Verdana" w:hAnsi="Verdana"/>
          <w:color w:val="424242"/>
          <w:lang w:val="ru-RU"/>
        </w:rPr>
        <w:t>, что очень важно, и хорошо растворяется в плавиковой кислоте.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Последующие операции проводятся с использованием метода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фотолитографии</w:t>
      </w:r>
      <w:r w:rsidRPr="0067668E">
        <w:rPr>
          <w:rFonts w:ascii="Verdana" w:hAnsi="Verdana"/>
          <w:color w:val="424242"/>
          <w:lang w:val="ru-RU"/>
        </w:rPr>
        <w:t>. На окисленную пластину кремния наносят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фоторезист</w:t>
      </w:r>
      <w:proofErr w:type="spellEnd"/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– вещество, изменяющее свои прочностные свойства под действием электромагнитного излучения оптического диапазона (света). На слой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фоторезиста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накладывают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маску</w:t>
      </w:r>
      <w:r w:rsidRPr="0067668E">
        <w:rPr>
          <w:rFonts w:ascii="Verdana" w:hAnsi="Verdana"/>
          <w:color w:val="424242"/>
          <w:lang w:val="ru-RU"/>
        </w:rPr>
        <w:t xml:space="preserve">, представляющую собой светонепроницаемую плёнку (фотошаблон), перфорированную отверстиями, задающими конфигурацию элементов структур создаваемых приборов. Слой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фоторезиста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экспонируют (засвечивают) через фотошаблон, после чего засвеченные участки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фоторезиста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«проявляют», т.е. удаляют в растворителе. Затем в растворе, содержащем плавиковую кислоту, травят обнажившуюся в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фоторезисте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плёнку диоксида кремния (на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кислота не действует), вскрывая в ней «окна» Оставшийся </w:t>
      </w:r>
      <w:proofErr w:type="spellStart"/>
      <w:r w:rsidRPr="0067668E">
        <w:rPr>
          <w:rFonts w:ascii="Verdana" w:hAnsi="Verdana"/>
          <w:color w:val="424242"/>
          <w:lang w:val="ru-RU"/>
        </w:rPr>
        <w:t>фоторезист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полностью удаляют, после чего проводят диффузию акцепторной примеси в образовавшиеся окна на глубину</w:t>
      </w:r>
      <w:r>
        <w:rPr>
          <w:rFonts w:ascii="Verdana" w:hAnsi="Verdana"/>
          <w:i/>
          <w:iCs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к</w:t>
      </w:r>
      <w:proofErr w:type="spellEnd"/>
      <w:r w:rsidRPr="0067668E">
        <w:rPr>
          <w:rFonts w:ascii="Verdana" w:hAnsi="Verdana"/>
          <w:color w:val="424242"/>
          <w:lang w:val="ru-RU"/>
        </w:rPr>
        <w:t>, формируя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color w:val="424242"/>
          <w:lang w:val="ru-RU"/>
        </w:rPr>
        <w:t>-область. В результате образуется коллекторный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переход, обеднённая область которого ограничена двумя жирными линиями, а металлургическая граница между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color w:val="424242"/>
          <w:lang w:val="ru-RU"/>
        </w:rPr>
        <w:t>- и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lang w:val="ru-RU"/>
        </w:rPr>
        <w:t>-областями обозначена линией пунктирной (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2а). После этого поверхность пластины покрывают плёнкой диоксида кремния и вновь проводят фотолитографию, позволяющую вскрыть окна (несколько меньшие по размерам, чем в предыдущем случае) под диффузию донорной примеси на глубину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proofErr w:type="spellEnd"/>
      <w:r w:rsidRPr="0067668E">
        <w:rPr>
          <w:rFonts w:ascii="Verdana" w:hAnsi="Verdana"/>
          <w:color w:val="424242"/>
          <w:lang w:val="ru-RU"/>
        </w:rPr>
        <w:t>. В результате образуется низкоомная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Style w:val="Strong"/>
          <w:rFonts w:ascii="Verdana" w:hAnsi="Verdana"/>
          <w:i/>
          <w:iCs/>
          <w:color w:val="424242"/>
          <w:vertAlign w:val="superscript"/>
          <w:lang w:val="ru-RU"/>
        </w:rPr>
        <w:t>+</w:t>
      </w:r>
      <w:r w:rsidRPr="0067668E">
        <w:rPr>
          <w:rStyle w:val="Strong"/>
          <w:rFonts w:ascii="Verdana" w:hAnsi="Verdana"/>
          <w:color w:val="424242"/>
          <w:lang w:val="ru-RU"/>
        </w:rPr>
        <w:t>-</w:t>
      </w:r>
      <w:r w:rsidRPr="0067668E">
        <w:rPr>
          <w:rFonts w:ascii="Verdana" w:hAnsi="Verdana"/>
          <w:color w:val="424242"/>
          <w:lang w:val="ru-RU"/>
        </w:rPr>
        <w:t xml:space="preserve">область эмиттера с концентрацией примеси ещё более высокой, чем у подложки, и образуется эмиттерный переход, также показанный двумя жирными линиями и пунктирной линией металлургической границы между областями эмиттера и базы. Металлургические границы эмиттерного </w:t>
      </w:r>
      <w:proofErr w:type="spellStart"/>
      <w:r w:rsidRPr="0067668E">
        <w:rPr>
          <w:rFonts w:ascii="Verdana" w:hAnsi="Verdana"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proofErr w:type="spellEnd"/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и коллекторного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к</w:t>
      </w:r>
      <w:r w:rsidRPr="0067668E">
        <w:rPr>
          <w:rFonts w:ascii="Verdana" w:hAnsi="Verdana"/>
          <w:color w:val="424242"/>
          <w:lang w:val="ru-RU"/>
        </w:rPr>
        <w:t>переходов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(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2а и Т2в) проходят по точкам, в которых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ДЭ</w:t>
      </w:r>
      <w:r w:rsidRPr="0067668E">
        <w:rPr>
          <w:rFonts w:ascii="Verdana" w:hAnsi="Verdana"/>
          <w:color w:val="424242"/>
          <w:lang w:val="ru-RU"/>
        </w:rPr>
        <w:t>(</w:t>
      </w:r>
      <w:r>
        <w:rPr>
          <w:rFonts w:ascii="Verdana" w:hAnsi="Verdana"/>
          <w:i/>
          <w:iCs/>
          <w:color w:val="424242"/>
        </w:rPr>
        <w:t>x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r w:rsidRPr="0067668E">
        <w:rPr>
          <w:rFonts w:ascii="Verdana" w:hAnsi="Verdana"/>
          <w:color w:val="424242"/>
          <w:lang w:val="ru-RU"/>
        </w:rPr>
        <w:t>)=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АБ</w:t>
      </w:r>
      <w:r w:rsidRPr="0067668E">
        <w:rPr>
          <w:rFonts w:ascii="Verdana" w:hAnsi="Verdana"/>
          <w:color w:val="424242"/>
          <w:lang w:val="ru-RU"/>
        </w:rPr>
        <w:t>(</w:t>
      </w:r>
      <w:r>
        <w:rPr>
          <w:rFonts w:ascii="Verdana" w:hAnsi="Verdana"/>
          <w:i/>
          <w:iCs/>
          <w:color w:val="424242"/>
        </w:rPr>
        <w:t>x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r w:rsidRPr="0067668E">
        <w:rPr>
          <w:rFonts w:ascii="Verdana" w:hAnsi="Verdana"/>
          <w:color w:val="424242"/>
          <w:lang w:val="ru-RU"/>
        </w:rPr>
        <w:t>) и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АБ</w:t>
      </w:r>
      <w:r w:rsidRPr="0067668E">
        <w:rPr>
          <w:rFonts w:ascii="Verdana" w:hAnsi="Verdana"/>
          <w:color w:val="424242"/>
          <w:lang w:val="ru-RU"/>
        </w:rPr>
        <w:t>(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К</w:t>
      </w:r>
      <w:proofErr w:type="spellEnd"/>
      <w:r w:rsidRPr="0067668E">
        <w:rPr>
          <w:rFonts w:ascii="Verdana" w:hAnsi="Verdana"/>
          <w:color w:val="424242"/>
          <w:lang w:val="ru-RU"/>
        </w:rPr>
        <w:t>)=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ДК</w:t>
      </w:r>
      <w:r w:rsidRPr="0067668E">
        <w:rPr>
          <w:rFonts w:ascii="Verdana" w:hAnsi="Verdana"/>
          <w:color w:val="424242"/>
          <w:lang w:val="ru-RU"/>
        </w:rPr>
        <w:t>(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К</w:t>
      </w:r>
      <w:proofErr w:type="spellEnd"/>
      <w:r w:rsidRPr="0067668E">
        <w:rPr>
          <w:rFonts w:ascii="Verdana" w:hAnsi="Verdana"/>
          <w:color w:val="424242"/>
          <w:lang w:val="ru-RU"/>
        </w:rPr>
        <w:t>). Здесь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ДЭ</w:t>
      </w:r>
      <w:r w:rsidRPr="0067668E">
        <w:rPr>
          <w:rFonts w:ascii="Verdana" w:hAnsi="Verdana"/>
          <w:color w:val="424242"/>
          <w:lang w:val="ru-RU"/>
        </w:rPr>
        <w:t>,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ДК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– концентрации доноров в области эмиттера и коллектора соответственно,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color w:val="424242"/>
          <w:vertAlign w:val="subscript"/>
          <w:lang w:val="ru-RU"/>
        </w:rPr>
        <w:t>АБ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- концентрация акцепторов в области базы;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К</w:t>
      </w:r>
      <w:proofErr w:type="spellEnd"/>
      <w:r w:rsidRPr="0067668E">
        <w:rPr>
          <w:rFonts w:ascii="Verdana" w:hAnsi="Verdana"/>
          <w:color w:val="424242"/>
          <w:lang w:val="ru-RU"/>
        </w:rPr>
        <w:t>,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color w:val="424242"/>
          <w:vertAlign w:val="subscript"/>
          <w:lang w:val="ru-RU"/>
        </w:rPr>
        <w:t>Э</w:t>
      </w:r>
      <w:proofErr w:type="spellEnd"/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– глубина диффузии примеси, формирующей область коллектора и эмиттера соответственно. Технологическая ширина базы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W</w:t>
      </w:r>
      <w:r w:rsidRPr="0067668E">
        <w:rPr>
          <w:rFonts w:ascii="Verdana" w:hAnsi="Verdana"/>
          <w:color w:val="424242"/>
          <w:vertAlign w:val="subscript"/>
          <w:lang w:val="ru-RU"/>
        </w:rPr>
        <w:t>Б</w:t>
      </w:r>
      <w:r w:rsidRPr="0067668E">
        <w:rPr>
          <w:rFonts w:ascii="Verdana" w:hAnsi="Verdana"/>
          <w:color w:val="424242"/>
          <w:lang w:val="ru-RU"/>
        </w:rPr>
        <w:t>=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х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К</w:t>
      </w:r>
      <w:r w:rsidRPr="0067668E">
        <w:rPr>
          <w:rFonts w:ascii="Verdana" w:hAnsi="Verdana"/>
          <w:i/>
          <w:iCs/>
          <w:color w:val="424242"/>
          <w:lang w:val="ru-RU"/>
        </w:rPr>
        <w:t>-х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Э</w:t>
      </w:r>
      <w:proofErr w:type="spellEnd"/>
      <w:r w:rsidRPr="0067668E">
        <w:rPr>
          <w:rFonts w:ascii="Verdana" w:hAnsi="Verdana"/>
          <w:color w:val="424242"/>
          <w:lang w:val="ru-RU"/>
        </w:rPr>
        <w:t>, и для маломощных и высокочастотных БТ не превышает 0,15мкм. Физическая ширина базы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noProof/>
          <w:color w:val="424242"/>
        </w:rPr>
        <w:drawing>
          <wp:inline distT="0" distB="0" distL="0" distR="0">
            <wp:extent cx="161925" cy="133350"/>
            <wp:effectExtent l="0" t="0" r="9525" b="0"/>
            <wp:docPr id="7" name="Picture 7" descr="http://ok-t.ru/mydocxru/baza1/817313026441.files/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mydocxru/baza1/817313026441.files/image0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равна расстоянию между границами обеднённых слоёв эмиттерного и коллекторного переходов и потому меньше технологической ширины.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Следующей операцией является создание контактных площадок и </w:t>
      </w:r>
      <w:proofErr w:type="spellStart"/>
      <w:r w:rsidRPr="0067668E">
        <w:rPr>
          <w:rFonts w:ascii="Verdana" w:hAnsi="Verdana"/>
          <w:color w:val="424242"/>
          <w:lang w:val="ru-RU"/>
        </w:rPr>
        <w:t>межсоединений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. Хороший омический контакт должен иметь сопротивление близкое к нулю и симметричную линейную ВАХ в </w:t>
      </w:r>
      <w:r w:rsidRPr="0067668E">
        <w:rPr>
          <w:rFonts w:ascii="Verdana" w:hAnsi="Verdana"/>
          <w:color w:val="424242"/>
          <w:lang w:val="ru-RU"/>
        </w:rPr>
        <w:lastRenderedPageBreak/>
        <w:t xml:space="preserve">соответствии с законом Ома. Если наносить металлизацию непосредственно на </w:t>
      </w:r>
      <w:r>
        <w:rPr>
          <w:rFonts w:ascii="Verdana" w:hAnsi="Verdana"/>
          <w:color w:val="424242"/>
        </w:rPr>
        <w:t>n</w:t>
      </w:r>
      <w:r w:rsidRPr="0067668E">
        <w:rPr>
          <w:rFonts w:ascii="Verdana" w:hAnsi="Verdana"/>
          <w:color w:val="424242"/>
          <w:lang w:val="ru-RU"/>
        </w:rPr>
        <w:t>-область эмиттера, то получается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 xml:space="preserve">барьер 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Шоттки</w:t>
      </w:r>
      <w:proofErr w:type="spellEnd"/>
      <w:r w:rsidRPr="0067668E">
        <w:rPr>
          <w:rFonts w:ascii="Verdana" w:hAnsi="Verdana"/>
          <w:i/>
          <w:iCs/>
          <w:color w:val="424242"/>
          <w:lang w:val="ru-RU"/>
        </w:rPr>
        <w:t>,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обладающий вентильными (выпрямительными) свойствами. В случае же сильного легирования, при котором получают </w:t>
      </w:r>
      <w:r>
        <w:rPr>
          <w:rFonts w:ascii="Verdana" w:hAnsi="Verdana"/>
          <w:color w:val="424242"/>
        </w:rPr>
        <w:t>n</w:t>
      </w:r>
      <w:r w:rsidRPr="0067668E">
        <w:rPr>
          <w:rStyle w:val="Strong"/>
          <w:rFonts w:ascii="Verdana" w:hAnsi="Verdana"/>
          <w:color w:val="424242"/>
          <w:vertAlign w:val="superscript"/>
          <w:lang w:val="ru-RU"/>
        </w:rPr>
        <w:t>+</w:t>
      </w:r>
      <w:r w:rsidRPr="0067668E">
        <w:rPr>
          <w:rFonts w:ascii="Verdana" w:hAnsi="Verdana"/>
          <w:color w:val="424242"/>
          <w:lang w:val="ru-RU"/>
        </w:rPr>
        <w:t xml:space="preserve">-тип проводимости, толщина области пространственного заряда (обеднённой области) барьера на границе «металл- </w:t>
      </w:r>
      <w:r>
        <w:rPr>
          <w:rFonts w:ascii="Verdana" w:hAnsi="Verdana"/>
          <w:color w:val="424242"/>
        </w:rPr>
        <w:t>n</w:t>
      </w:r>
      <w:r w:rsidRPr="0067668E">
        <w:rPr>
          <w:rStyle w:val="Strong"/>
          <w:rFonts w:ascii="Verdana" w:hAnsi="Verdana"/>
          <w:color w:val="424242"/>
          <w:vertAlign w:val="superscript"/>
          <w:lang w:val="ru-RU"/>
        </w:rPr>
        <w:t>+</w:t>
      </w:r>
      <w:r w:rsidRPr="0067668E">
        <w:rPr>
          <w:rStyle w:val="Strong"/>
          <w:rFonts w:ascii="Verdana" w:hAnsi="Verdana"/>
          <w:color w:val="424242"/>
          <w:lang w:val="ru-RU"/>
        </w:rPr>
        <w:t>-</w:t>
      </w:r>
      <w:proofErr w:type="spellStart"/>
      <w:proofErr w:type="gramStart"/>
      <w:r w:rsidRPr="0067668E">
        <w:rPr>
          <w:rFonts w:ascii="Verdana" w:hAnsi="Verdana"/>
          <w:color w:val="424242"/>
          <w:lang w:val="ru-RU"/>
        </w:rPr>
        <w:t>полупроводник»становится</w:t>
      </w:r>
      <w:proofErr w:type="spellEnd"/>
      <w:proofErr w:type="gramEnd"/>
      <w:r w:rsidRPr="0067668E">
        <w:rPr>
          <w:rFonts w:ascii="Verdana" w:hAnsi="Verdana"/>
          <w:color w:val="424242"/>
          <w:lang w:val="ru-RU"/>
        </w:rPr>
        <w:t xml:space="preserve"> настолько малой, что через него возможно </w:t>
      </w:r>
      <w:proofErr w:type="spellStart"/>
      <w:r w:rsidRPr="0067668E">
        <w:rPr>
          <w:rFonts w:ascii="Verdana" w:hAnsi="Verdana"/>
          <w:color w:val="424242"/>
          <w:lang w:val="ru-RU"/>
        </w:rPr>
        <w:t>туннелирование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носителей заряда, что позволяет получить требуемые характеристики контакта. Именно поэтому подложку и область эмиттера сильно легируют.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Для создания планарных омических контактов и </w:t>
      </w:r>
      <w:proofErr w:type="spellStart"/>
      <w:r w:rsidRPr="0067668E">
        <w:rPr>
          <w:rFonts w:ascii="Verdana" w:hAnsi="Verdana"/>
          <w:color w:val="424242"/>
          <w:lang w:val="ru-RU"/>
        </w:rPr>
        <w:t>межсоединений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на верхней поверхности структуры пластина вновь окисляется и проводится фотолитография, позволяющая вскрыть окна под омические контакты базы и эмиттера. Затем на верхней поверхности пластины осуществляется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металлизация</w:t>
      </w:r>
      <w:r>
        <w:rPr>
          <w:rFonts w:ascii="Verdana" w:hAnsi="Verdana"/>
          <w:i/>
          <w:iCs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путём нанесения на поверхность пластины сплошной металлической плёнки, например, алюминия методами термического испарения или катодного распыления. По металлизации проводится фотолитография, в ходе которой убирается лишний металл и остаются контактные площадки базы и эмиттера (косая штриховка на 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 xml:space="preserve">2а, Т2б, </w:t>
      </w:r>
      <w:proofErr w:type="spellStart"/>
      <w:r w:rsidRPr="0067668E">
        <w:rPr>
          <w:rFonts w:ascii="Verdana" w:hAnsi="Verdana"/>
          <w:color w:val="424242"/>
          <w:lang w:val="ru-RU"/>
        </w:rPr>
        <w:t>Ме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–означает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металл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на рис.Т2а).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На заключительной стадии пластина разрезается на отдельные кристаллы, к контактным площадкам ультразвуковой сваркой привариваются </w:t>
      </w:r>
      <w:proofErr w:type="spellStart"/>
      <w:r w:rsidRPr="0067668E">
        <w:rPr>
          <w:rFonts w:ascii="Verdana" w:hAnsi="Verdana"/>
          <w:color w:val="424242"/>
          <w:lang w:val="ru-RU"/>
        </w:rPr>
        <w:t>тоководы</w:t>
      </w:r>
      <w:proofErr w:type="spellEnd"/>
      <w:r w:rsidRPr="0067668E">
        <w:rPr>
          <w:rFonts w:ascii="Verdana" w:hAnsi="Verdana"/>
          <w:color w:val="424242"/>
          <w:lang w:val="ru-RU"/>
        </w:rPr>
        <w:t>, после чего кристалл помещают в корпус, снабжают внешними выводами, герметизируют, окрашивают и маркируют. Существуют также</w:t>
      </w:r>
      <w:r>
        <w:rPr>
          <w:rFonts w:ascii="Verdana" w:hAnsi="Verdana"/>
          <w:color w:val="424242"/>
        </w:rPr>
        <w:t> </w:t>
      </w:r>
      <w:proofErr w:type="spellStart"/>
      <w:r w:rsidRPr="0067668E">
        <w:rPr>
          <w:rFonts w:ascii="Verdana" w:hAnsi="Verdana"/>
          <w:i/>
          <w:iCs/>
          <w:color w:val="424242"/>
          <w:lang w:val="ru-RU"/>
        </w:rPr>
        <w:t>бескорпусные</w:t>
      </w:r>
      <w:proofErr w:type="spellEnd"/>
      <w:r w:rsidRPr="0067668E">
        <w:rPr>
          <w:rFonts w:ascii="Verdana" w:hAnsi="Verdana"/>
          <w:i/>
          <w:iCs/>
          <w:color w:val="424242"/>
          <w:lang w:val="ru-RU"/>
        </w:rPr>
        <w:t xml:space="preserve"> транзисторы</w:t>
      </w:r>
      <w:r w:rsidRPr="0067668E">
        <w:rPr>
          <w:rFonts w:ascii="Verdana" w:hAnsi="Verdana"/>
          <w:color w:val="424242"/>
          <w:lang w:val="ru-RU"/>
        </w:rPr>
        <w:t>, предназначенные для создания различных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микросборок</w:t>
      </w:r>
      <w:r w:rsidRPr="0067668E">
        <w:rPr>
          <w:rFonts w:ascii="Verdana" w:hAnsi="Verdana"/>
          <w:color w:val="424242"/>
          <w:lang w:val="ru-RU"/>
        </w:rPr>
        <w:t>. Защита от внешней среды таких транзисторов достигается нанесением на кристалл полимерного покрытия.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Если необходимо создать интегральную микросхему, то транзисторы, сформированные на подложке, соединяют согласно принципиальной схеме, при этом в качестве резисторов используют базы транзисторов, у которых сравнительно высокие сопротивления вследствие низкого уровня их легирования, в качестве диодов – эмиттерный и коллекторный переходы, в качестве ёмкостей – барьерные или диффузионные ёмкости </w:t>
      </w:r>
      <w:r>
        <w:rPr>
          <w:rFonts w:ascii="Verdana" w:hAnsi="Verdana"/>
          <w:color w:val="424242"/>
        </w:rPr>
        <w:t>p</w:t>
      </w:r>
      <w:r w:rsidRPr="0067668E">
        <w:rPr>
          <w:rFonts w:ascii="Verdana" w:hAnsi="Verdana"/>
          <w:color w:val="424242"/>
          <w:lang w:val="ru-RU"/>
        </w:rPr>
        <w:t>-</w:t>
      </w:r>
      <w:r>
        <w:rPr>
          <w:rFonts w:ascii="Verdana" w:hAnsi="Verdana"/>
          <w:color w:val="424242"/>
        </w:rPr>
        <w:t>n</w:t>
      </w:r>
      <w:r w:rsidRPr="0067668E">
        <w:rPr>
          <w:rFonts w:ascii="Verdana" w:hAnsi="Verdana"/>
          <w:color w:val="424242"/>
          <w:lang w:val="ru-RU"/>
        </w:rPr>
        <w:t xml:space="preserve"> переходов.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Если имеет место прямое смещение эмиттерного перехода и происходит, как следствие, процесс диффузии электронов (обозначены как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noProof/>
          <w:color w:val="424242"/>
        </w:rPr>
        <w:drawing>
          <wp:inline distT="0" distB="0" distL="0" distR="0">
            <wp:extent cx="76200" cy="76200"/>
            <wp:effectExtent l="0" t="0" r="0" b="0"/>
            <wp:docPr id="6" name="Picture 6" descr="http://ok-t.ru/mydocxru/baza1/817313026441.files/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mydocxru/baza1/817313026441.files/image0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) из эмиттера в базу, то, как следует из рис.Т2а, в каком бы направлении ни двигались электроны – они попадают в поле коллекторного перехода, чья площадь существенно больше площади эмиттерного перехода. Инжектированные в базу электроны движутся не только в вертикальном, но и в боковых направлениях. </w:t>
      </w:r>
      <w:r w:rsidRPr="0067668E">
        <w:rPr>
          <w:rFonts w:ascii="Verdana" w:hAnsi="Verdana"/>
          <w:color w:val="424242"/>
          <w:lang w:val="ru-RU"/>
        </w:rPr>
        <w:lastRenderedPageBreak/>
        <w:t>Однако, поскольку в вертикальном направлении толщина базы существенно меньше, чем в горизонтальном направлении, то краевыми эффектами можно пренебречь и учитывать движение электронов в области базы, непосредственно расположенной под эмиттером. Данную часть базы называют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активной</w:t>
      </w:r>
      <w:r w:rsidRPr="0067668E">
        <w:rPr>
          <w:rFonts w:ascii="Verdana" w:hAnsi="Verdana"/>
          <w:color w:val="424242"/>
          <w:lang w:val="ru-RU"/>
        </w:rPr>
        <w:t>, а остальную часть базы, с которой непосредственно соединены контактные площадки –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пассивной.</w:t>
      </w:r>
      <w:r>
        <w:rPr>
          <w:rFonts w:ascii="Verdana" w:hAnsi="Verdana"/>
          <w:i/>
          <w:iCs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Отсюда следует, что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переходы в первом приближении можно считать плоскими, и для анализа процессов, происходящих в БТ, рассматривать одномерную модель его структуры (выделена цветом на рис. Т2а). Влияние пассивной базы можно учесть, вводя в схему замещения БТ резистор, чьё сопротивление равно объёмному сопротивлению пассивной области базы.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Одномерные структуры кристаллов транзисторов и условные их обозначения на схемах приведены на рис. Т3. Кружками обозначены внешние выводы транзистора, с помощью которых он соединяется (как правило, посредством пайки) с остальными компонентами усилительного устройства. Пунктирными линиями указаны металлургические границы между примесными областями, косой штриховкой обозначены границы эмиттерного (1) и коллекторного (2) переходов.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>
        <w:rPr>
          <w:rFonts w:ascii="Verdana" w:hAnsi="Verdana"/>
          <w:color w:val="424242"/>
        </w:rPr>
        <w:t> </w:t>
      </w:r>
    </w:p>
    <w:p w:rsid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</w:rPr>
      </w:pPr>
      <w:r>
        <w:rPr>
          <w:rFonts w:ascii="Verdana" w:hAnsi="Verdana"/>
          <w:noProof/>
          <w:color w:val="424242"/>
        </w:rPr>
        <w:drawing>
          <wp:inline distT="0" distB="0" distL="0" distR="0">
            <wp:extent cx="4762500" cy="2076450"/>
            <wp:effectExtent l="0" t="0" r="0" b="0"/>
            <wp:docPr id="5" name="Picture 5" descr="http://ok-t.ru/mydocxru/baza1/817313026441.files/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mydocxru/baza1/817313026441.files/image0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Рис.Т3. Структуры кристаллов, схема замещения и условные обозначения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p </w:t>
      </w:r>
      <w:r w:rsidRPr="0067668E">
        <w:rPr>
          <w:rFonts w:ascii="Verdana" w:hAnsi="Verdana"/>
          <w:color w:val="424242"/>
          <w:lang w:val="ru-RU"/>
        </w:rPr>
        <w:t>и</w:t>
      </w:r>
      <w:r>
        <w:rPr>
          <w:rFonts w:ascii="Verdana" w:hAnsi="Verdana"/>
          <w:i/>
          <w:iCs/>
          <w:color w:val="424242"/>
        </w:rPr>
        <w:t> n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биполярных транзисторов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>
        <w:rPr>
          <w:rFonts w:ascii="Verdana" w:hAnsi="Verdana"/>
          <w:color w:val="424242"/>
        </w:rPr>
        <w:t> 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Поскольку, как отмечалось ранее, концентрация примеси в области эмиттера много больше, чем в области базы, поэтому эмиттерный переход несимметричен и, в основном, сосредоточен в низколегированной области базы (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2в) (см. также рис.4). Физическая область базы формируется предельно тонкой, её толщина должна быть много меньше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диффузионной длины</w:t>
      </w:r>
      <w:r w:rsidRPr="0067668E">
        <w:rPr>
          <w:rFonts w:ascii="Verdana" w:hAnsi="Verdana"/>
          <w:color w:val="424242"/>
          <w:lang w:val="ru-RU"/>
        </w:rPr>
        <w:t xml:space="preserve">, с тем, </w:t>
      </w:r>
      <w:r w:rsidRPr="0067668E">
        <w:rPr>
          <w:rFonts w:ascii="Verdana" w:hAnsi="Verdana"/>
          <w:color w:val="424242"/>
          <w:lang w:val="ru-RU"/>
        </w:rPr>
        <w:lastRenderedPageBreak/>
        <w:t xml:space="preserve">чтобы носители, попавшие в базу и диффундирующие в ней, не успевали </w:t>
      </w:r>
      <w:proofErr w:type="spellStart"/>
      <w:r w:rsidRPr="0067668E">
        <w:rPr>
          <w:rFonts w:ascii="Verdana" w:hAnsi="Verdana"/>
          <w:color w:val="424242"/>
          <w:lang w:val="ru-RU"/>
        </w:rPr>
        <w:t>рекомбинировать</w:t>
      </w:r>
      <w:proofErr w:type="spellEnd"/>
      <w:r w:rsidRPr="0067668E">
        <w:rPr>
          <w:rFonts w:ascii="Verdana" w:hAnsi="Verdana"/>
          <w:color w:val="424242"/>
          <w:lang w:val="ru-RU"/>
        </w:rPr>
        <w:t xml:space="preserve"> (диффузионная длина – это расстояние, на котором концентрация диффундирующих носителей уменьшается в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i/>
          <w:iCs/>
          <w:color w:val="424242"/>
          <w:lang w:val="ru-RU"/>
        </w:rPr>
        <w:t>е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раз вследствие процессов рекомбинации).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>Приложение напряжения к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p</w:t>
      </w:r>
      <w:r w:rsidRPr="0067668E">
        <w:rPr>
          <w:rFonts w:ascii="Verdana" w:hAnsi="Verdana"/>
          <w:i/>
          <w:iCs/>
          <w:color w:val="424242"/>
          <w:lang w:val="ru-RU"/>
        </w:rPr>
        <w:t>-</w:t>
      </w:r>
      <w:r>
        <w:rPr>
          <w:rFonts w:ascii="Verdana" w:hAnsi="Verdana"/>
          <w:i/>
          <w:iCs/>
          <w:color w:val="424242"/>
        </w:rPr>
        <w:t>n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 xml:space="preserve">переходу вызывает протекание по нему тока, это даёт основание в схемах замещения представлять переход в виде резистора. Однако, поскольку связь между током перехода и приложенным к нему напряжением нелинейная, то сопротивление такого резистора должно быть дифференциальным и находится через приращения токов и напряжений относительного некоторого постоянного их значения. Что касается области базы, то она должна быть представлена резистором с постоянным сопротивлением, поскольку речь идёт об объёме полупроводника между коллекторным и эмиттерным переходами. Резистивная схема замещения БТ представлена на 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3б, где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r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э</w:t>
      </w:r>
      <w:r w:rsidRPr="0067668E">
        <w:rPr>
          <w:rFonts w:ascii="Verdana" w:hAnsi="Verdana"/>
          <w:i/>
          <w:iCs/>
          <w:color w:val="424242"/>
          <w:lang w:val="ru-RU"/>
        </w:rPr>
        <w:t xml:space="preserve">, </w:t>
      </w:r>
      <w:r>
        <w:rPr>
          <w:rFonts w:ascii="Verdana" w:hAnsi="Verdana"/>
          <w:i/>
          <w:iCs/>
          <w:color w:val="424242"/>
        </w:rPr>
        <w:t>r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к</w:t>
      </w:r>
      <w:r w:rsidRPr="0067668E">
        <w:rPr>
          <w:rFonts w:ascii="Verdana" w:hAnsi="Verdana"/>
          <w:i/>
          <w:iCs/>
          <w:color w:val="424242"/>
          <w:lang w:val="ru-RU"/>
        </w:rPr>
        <w:t xml:space="preserve">, </w:t>
      </w:r>
      <w:r>
        <w:rPr>
          <w:rFonts w:ascii="Verdana" w:hAnsi="Verdana"/>
          <w:i/>
          <w:iCs/>
          <w:color w:val="424242"/>
        </w:rPr>
        <w:t>r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б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– дифференциальные сопротивления эмиттерного, коллекторного переходов и объёмное сопротивление области базы соответственно.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 w:rsidRPr="0067668E">
        <w:rPr>
          <w:rFonts w:ascii="Verdana" w:hAnsi="Verdana"/>
          <w:color w:val="424242"/>
          <w:lang w:val="ru-RU"/>
        </w:rPr>
        <w:t xml:space="preserve">На </w:t>
      </w:r>
      <w:proofErr w:type="gramStart"/>
      <w:r w:rsidRPr="0067668E">
        <w:rPr>
          <w:rFonts w:ascii="Verdana" w:hAnsi="Verdana"/>
          <w:color w:val="424242"/>
          <w:lang w:val="ru-RU"/>
        </w:rPr>
        <w:t>рис.Т</w:t>
      </w:r>
      <w:proofErr w:type="gramEnd"/>
      <w:r w:rsidRPr="0067668E">
        <w:rPr>
          <w:rFonts w:ascii="Verdana" w:hAnsi="Verdana"/>
          <w:color w:val="424242"/>
          <w:lang w:val="ru-RU"/>
        </w:rPr>
        <w:t>3 также указаны направления токов, проходящих по выводам БТ, а именно, тока коллектора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I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К</w:t>
      </w:r>
      <w:r w:rsidRPr="0067668E">
        <w:rPr>
          <w:rFonts w:ascii="Verdana" w:hAnsi="Verdana"/>
          <w:i/>
          <w:iCs/>
          <w:color w:val="424242"/>
          <w:lang w:val="ru-RU"/>
        </w:rPr>
        <w:t>,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тока эмиттера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I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Э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и тока базы</w:t>
      </w:r>
      <w:r>
        <w:rPr>
          <w:rFonts w:ascii="Verdana" w:hAnsi="Verdana"/>
          <w:color w:val="424242"/>
        </w:rPr>
        <w:t> </w:t>
      </w:r>
      <w:r>
        <w:rPr>
          <w:rFonts w:ascii="Verdana" w:hAnsi="Verdana"/>
          <w:i/>
          <w:iCs/>
          <w:color w:val="424242"/>
        </w:rPr>
        <w:t>I</w:t>
      </w:r>
      <w:r w:rsidRPr="0067668E">
        <w:rPr>
          <w:rFonts w:ascii="Verdana" w:hAnsi="Verdana"/>
          <w:i/>
          <w:iCs/>
          <w:color w:val="424242"/>
          <w:vertAlign w:val="subscript"/>
          <w:lang w:val="ru-RU"/>
        </w:rPr>
        <w:t>Б</w:t>
      </w:r>
      <w:r>
        <w:rPr>
          <w:rFonts w:ascii="Verdana" w:hAnsi="Verdana"/>
          <w:color w:val="424242"/>
        </w:rPr>
        <w:t> </w:t>
      </w:r>
      <w:r w:rsidRPr="0067668E">
        <w:rPr>
          <w:rFonts w:ascii="Verdana" w:hAnsi="Verdana"/>
          <w:color w:val="424242"/>
          <w:lang w:val="ru-RU"/>
        </w:rPr>
        <w:t>для активного режима, который будет рассмотрен далее.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  <w:r>
        <w:rPr>
          <w:rFonts w:ascii="Verdana" w:hAnsi="Verdana"/>
          <w:color w:val="424242"/>
        </w:rPr>
        <w:t> </w:t>
      </w:r>
    </w:p>
    <w:p w:rsidR="0067668E" w:rsidRPr="0067668E" w:rsidRDefault="0067668E" w:rsidP="0067668E">
      <w:pPr>
        <w:pStyle w:val="NormalWeb"/>
        <w:spacing w:before="90" w:beforeAutospacing="0" w:after="90" w:afterAutospacing="0"/>
        <w:ind w:left="90" w:right="525"/>
        <w:rPr>
          <w:rFonts w:ascii="Verdana" w:hAnsi="Verdana"/>
          <w:color w:val="424242"/>
          <w:lang w:val="ru-RU"/>
        </w:rPr>
      </w:pPr>
    </w:p>
    <w:p w:rsidR="00BB3CAE" w:rsidRPr="0067668E" w:rsidRDefault="0067668E">
      <w:pPr>
        <w:rPr>
          <w:lang w:val="ru-RU"/>
        </w:rPr>
      </w:pPr>
    </w:p>
    <w:sectPr w:rsidR="00BB3CAE" w:rsidRPr="0067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8E"/>
    <w:rsid w:val="0067668E"/>
    <w:rsid w:val="00A313E4"/>
    <w:rsid w:val="00F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613A"/>
  <w15:chartTrackingRefBased/>
  <w15:docId w15:val="{3FEEC2A4-CF8E-4DAA-8A10-8418897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1938</Words>
  <Characters>11052</Characters>
  <Application>Microsoft Office Word</Application>
  <DocSecurity>0</DocSecurity>
  <Lines>92</Lines>
  <Paragraphs>25</Paragraphs>
  <ScaleCrop>false</ScaleCrop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1</cp:revision>
  <dcterms:created xsi:type="dcterms:W3CDTF">2018-06-14T09:21:00Z</dcterms:created>
  <dcterms:modified xsi:type="dcterms:W3CDTF">2018-06-14T09:24:00Z</dcterms:modified>
</cp:coreProperties>
</file>