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一、</w:t>
      </w:r>
      <w:r>
        <w:rPr>
          <w:rFonts w:hint="eastAsia"/>
        </w:rPr>
        <w:t>中国游戏用户规模</w:t>
      </w:r>
    </w:p>
    <w:tbl>
      <w:tblPr>
        <w:tblStyle w:val="5"/>
        <w:tblW w:w="10338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62"/>
        <w:gridCol w:w="818"/>
        <w:gridCol w:w="817"/>
        <w:gridCol w:w="817"/>
        <w:gridCol w:w="817"/>
        <w:gridCol w:w="817"/>
        <w:gridCol w:w="777"/>
        <w:gridCol w:w="777"/>
        <w:gridCol w:w="777"/>
        <w:gridCol w:w="764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8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8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009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010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011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531" w:type="dxa"/>
          </w:tcPr>
          <w:p>
            <w:r>
              <w:rPr>
                <w:rFonts w:hint="eastAsia"/>
              </w:rPr>
              <w:t>游戏用户数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（亿人）</w:t>
            </w:r>
          </w:p>
        </w:tc>
        <w:tc>
          <w:tcPr>
            <w:tcW w:w="8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8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.96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.30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.10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.95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.34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.66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增长率</w:t>
            </w:r>
          </w:p>
        </w:tc>
        <w:tc>
          <w:tcPr>
            <w:tcW w:w="862" w:type="dxa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0.0</w:t>
            </w:r>
            <w:r>
              <w:rPr>
                <w:rFonts w:hint="eastAsia"/>
              </w:rPr>
              <w:t>%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1.1</w:t>
            </w:r>
            <w:r>
              <w:rPr>
                <w:rFonts w:hint="eastAsia"/>
              </w:rPr>
              <w:t>%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8.5</w:t>
            </w:r>
            <w:r>
              <w:rPr>
                <w:rFonts w:hint="eastAsia"/>
              </w:rPr>
              <w:t>%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4.1</w:t>
            </w:r>
            <w:r>
              <w:rPr>
                <w:rFonts w:hint="eastAsia"/>
              </w:rPr>
              <w:t>%</w:t>
            </w:r>
          </w:p>
        </w:tc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0.6</w:t>
            </w:r>
            <w:r>
              <w:rPr>
                <w:rFonts w:hint="eastAsia"/>
              </w:rPr>
              <w:t>%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</w:t>
            </w:r>
            <w:r>
              <w:rPr>
                <w:rFonts w:hint="eastAsia"/>
              </w:rPr>
              <w:t>%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%</w:t>
            </w:r>
          </w:p>
        </w:tc>
        <w:tc>
          <w:tcPr>
            <w:tcW w:w="7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</w:t>
            </w:r>
            <w:r>
              <w:rPr>
                <w:rFonts w:hint="eastAsia"/>
              </w:rPr>
              <w:t>%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%</w:t>
            </w:r>
          </w:p>
        </w:tc>
        <w:tc>
          <w:tcPr>
            <w:tcW w:w="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.3</w:t>
            </w:r>
            <w:r>
              <w:rPr>
                <w:rFonts w:hint="eastAsia"/>
              </w:rPr>
              <w:t>%</w:t>
            </w:r>
          </w:p>
        </w:tc>
      </w:tr>
    </w:tbl>
    <w:p>
      <w:pPr>
        <w:ind w:firstLine="420"/>
        <w:rPr>
          <w:rFonts w:ascii="Tahoma" w:hAnsi="Tahoma" w:cs="Tahoma"/>
          <w:color w:val="050505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50505"/>
          <w:sz w:val="16"/>
          <w:szCs w:val="16"/>
          <w:shd w:val="clear" w:color="auto" w:fill="FFFFFF"/>
        </w:rPr>
        <w:t>报告显示，2018年中国游戏用户规模达6.26亿人， 同比增长7.3%。</w:t>
      </w:r>
    </w:p>
    <w:p/>
    <w:p>
      <w:pPr>
        <w:rPr>
          <w:rFonts w:hint="default" w:ascii="Tahoma" w:hAnsi="Tahoma" w:cs="Tahoma" w:eastAsiaTheme="minorEastAsia"/>
          <w:color w:val="050505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050505"/>
          <w:sz w:val="21"/>
          <w:szCs w:val="21"/>
          <w:shd w:val="clear" w:color="auto" w:fill="FFFFFF"/>
          <w:lang w:val="en-US" w:eastAsia="zh-CN"/>
        </w:rPr>
        <w:t>二、游戏人才教育经验与企业录用影响（以下表格可取舍部分</w:t>
      </w:r>
      <w:bookmarkStart w:id="0" w:name="_GoBack"/>
      <w:bookmarkEnd w:id="0"/>
      <w:r>
        <w:rPr>
          <w:rFonts w:hint="eastAsia" w:ascii="Tahoma" w:hAnsi="Tahoma" w:cs="Tahoma"/>
          <w:color w:val="050505"/>
          <w:sz w:val="21"/>
          <w:szCs w:val="21"/>
          <w:shd w:val="clear" w:color="auto" w:fill="FFFFFF"/>
          <w:lang w:val="en-US" w:eastAsia="zh-CN"/>
        </w:rPr>
        <w:t>）</w:t>
      </w:r>
    </w:p>
    <w:p>
      <w:pPr>
        <w:rPr>
          <w:rFonts w:ascii="Tahoma" w:hAnsi="Tahoma" w:cs="Tahoma"/>
          <w:color w:val="050505"/>
          <w:sz w:val="21"/>
          <w:szCs w:val="21"/>
          <w:shd w:val="clear" w:color="auto" w:fill="FFFFFF"/>
        </w:rPr>
      </w:pPr>
      <w:r>
        <w:rPr>
          <w:rFonts w:hint="eastAsia" w:ascii="Tahoma" w:hAnsi="Tahoma" w:cs="Tahoma"/>
          <w:color w:val="050505"/>
          <w:sz w:val="21"/>
          <w:szCs w:val="21"/>
          <w:shd w:val="clear" w:color="auto" w:fill="FFFFFF"/>
          <w:lang w:eastAsia="zh-CN"/>
        </w:rPr>
        <w:t>（一）</w:t>
      </w:r>
      <w:r>
        <w:rPr>
          <w:rFonts w:ascii="Tahoma" w:hAnsi="Tahoma" w:cs="Tahoma"/>
          <w:color w:val="050505"/>
          <w:sz w:val="21"/>
          <w:szCs w:val="21"/>
          <w:shd w:val="clear" w:color="auto" w:fill="FFFFFF"/>
        </w:rPr>
        <w:t>2018年，中国游戏从业者约145万人，需求规模约为44.1万人。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中国电竞产业从业者月薪分布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041"/>
        <w:gridCol w:w="1070"/>
        <w:gridCol w:w="1070"/>
        <w:gridCol w:w="1071"/>
        <w:gridCol w:w="1100"/>
        <w:gridCol w:w="1101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rPr>
                <w:rFonts w:hint="eastAsia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  <w:r>
              <w:rPr>
                <w:rFonts w:hint="eastAsia"/>
              </w:rPr>
              <w:t>元及以下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6000</w:t>
            </w:r>
            <w:r>
              <w:rPr>
                <w:rFonts w:hint="eastAsia"/>
              </w:rPr>
              <w:t>元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8000</w:t>
            </w:r>
            <w:r>
              <w:rPr>
                <w:rFonts w:hint="eastAsia"/>
              </w:rPr>
              <w:t>元</w:t>
            </w:r>
          </w:p>
        </w:tc>
        <w:tc>
          <w:tcPr>
            <w:tcW w:w="10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10000</w:t>
            </w:r>
            <w:r>
              <w:rPr>
                <w:rFonts w:hint="eastAsia"/>
              </w:rPr>
              <w:t>元</w:t>
            </w:r>
          </w:p>
        </w:tc>
        <w:tc>
          <w:tcPr>
            <w:tcW w:w="11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0001</w:t>
            </w:r>
            <w:r>
              <w:rPr>
                <w:rFonts w:hint="eastAsia"/>
              </w:rPr>
              <w:t>-</w:t>
            </w:r>
            <w:r>
              <w:t>15000</w:t>
            </w:r>
            <w:r>
              <w:rPr>
                <w:rFonts w:hint="eastAsia"/>
              </w:rPr>
              <w:t>元</w:t>
            </w:r>
          </w:p>
        </w:tc>
        <w:tc>
          <w:tcPr>
            <w:tcW w:w="1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5001</w:t>
            </w:r>
            <w:r>
              <w:rPr>
                <w:rFonts w:hint="eastAsia"/>
              </w:rPr>
              <w:t>-</w:t>
            </w:r>
            <w:r>
              <w:t>20000</w:t>
            </w:r>
            <w:r>
              <w:rPr>
                <w:rFonts w:hint="eastAsia"/>
              </w:rPr>
              <w:t>元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  <w:tc>
          <w:tcPr>
            <w:tcW w:w="10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>%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5.7</w:t>
            </w:r>
            <w:r>
              <w:rPr>
                <w:rFonts w:hint="eastAsia"/>
              </w:rPr>
              <w:t>%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8.1</w:t>
            </w:r>
            <w:r>
              <w:rPr>
                <w:rFonts w:hint="eastAsia"/>
              </w:rPr>
              <w:t>%</w:t>
            </w:r>
          </w:p>
        </w:tc>
        <w:tc>
          <w:tcPr>
            <w:tcW w:w="10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4.3</w:t>
            </w:r>
            <w:r>
              <w:rPr>
                <w:rFonts w:hint="eastAsia"/>
              </w:rPr>
              <w:t>%</w:t>
            </w:r>
          </w:p>
        </w:tc>
        <w:tc>
          <w:tcPr>
            <w:tcW w:w="11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0.9</w:t>
            </w:r>
            <w:r>
              <w:rPr>
                <w:rFonts w:hint="eastAsia"/>
              </w:rPr>
              <w:t>%</w:t>
            </w:r>
          </w:p>
        </w:tc>
        <w:tc>
          <w:tcPr>
            <w:tcW w:w="1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2%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ind w:firstLine="420"/>
              <w:rPr>
                <w:rFonts w:hint="eastAsia" w:ascii="Tahoma" w:hAnsi="Tahoma" w:cs="Tahoma"/>
                <w:color w:val="050505"/>
                <w:sz w:val="16"/>
                <w:szCs w:val="16"/>
                <w:shd w:val="clear" w:color="auto" w:fill="FFFFFF"/>
              </w:rPr>
            </w:pPr>
            <w:r>
              <w:rPr>
                <w:rFonts w:hint="eastAsia"/>
              </w:rPr>
              <w:t>（中国电竞产业从业者不同岗位的薪资水平差距较大，</w:t>
            </w:r>
            <w:r>
              <w:rPr>
                <w:rFonts w:ascii="Tahoma" w:hAnsi="Tahoma" w:cs="Tahoma"/>
                <w:color w:val="050505"/>
                <w:sz w:val="16"/>
                <w:szCs w:val="16"/>
                <w:shd w:val="clear" w:color="auto" w:fill="FFFFFF"/>
              </w:rPr>
              <w:t>2018年中国不同职位的游戏产业从业者中主策划、品牌管理、服务器开发工程师平均月薪最高，在16000元以上；新媒体运营/文案编辑、游戏客服、游戏推广人员平均月薪最低，在6500元以下。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FF0000"/>
                <w:sz w:val="18"/>
              </w:rPr>
              <w:t>（这一段没有找到数据，只有陈述）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（三）不同学历游戏岗位的平均录用薪资情况（元）：（原图没有具体数额，只是一个统计图，数据是依据统计图估计的）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游戏开发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游戏设计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游戏运营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本科及以上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高中及以下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7300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游戏企业招聘最低学历要求：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397"/>
        <w:gridCol w:w="1397"/>
        <w:gridCol w:w="1397"/>
        <w:gridCol w:w="1398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研究生</w:t>
            </w: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</w:p>
        </w:tc>
        <w:tc>
          <w:tcPr>
            <w:tcW w:w="13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高中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>%</w:t>
            </w: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</w:t>
            </w:r>
            <w:r>
              <w:rPr>
                <w:rFonts w:hint="eastAsia"/>
              </w:rPr>
              <w:t>%</w:t>
            </w:r>
          </w:p>
        </w:tc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2.3</w:t>
            </w:r>
            <w:r>
              <w:rPr>
                <w:rFonts w:hint="eastAsia"/>
              </w:rPr>
              <w:t>%</w:t>
            </w:r>
          </w:p>
        </w:tc>
        <w:tc>
          <w:tcPr>
            <w:tcW w:w="13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5%</w:t>
            </w:r>
          </w:p>
        </w:tc>
        <w:tc>
          <w:tcPr>
            <w:tcW w:w="13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.4%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（五）</w:t>
      </w:r>
      <w:r>
        <w:rPr>
          <w:rFonts w:hint="eastAsia"/>
        </w:rPr>
        <w:t>不同岗位类别最低学历要求分布情况：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679"/>
        <w:gridCol w:w="1679"/>
        <w:gridCol w:w="1679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高中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游戏策划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4.1</w:t>
            </w:r>
            <w:r>
              <w:rPr>
                <w:rFonts w:hint="eastAsia"/>
              </w:rPr>
              <w:t>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1.4</w:t>
            </w:r>
            <w:r>
              <w:rPr>
                <w:rFonts w:hint="eastAsia"/>
              </w:rPr>
              <w:t>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</w:t>
            </w:r>
            <w:r>
              <w:rPr>
                <w:rFonts w:hint="eastAsia"/>
              </w:rPr>
              <w:t>%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游戏开发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4.6%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2.2%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.9%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游戏设计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6.8%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1.8%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游戏运营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6.6%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0.2%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.3%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6.6%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0.9%</w:t>
            </w:r>
          </w:p>
        </w:tc>
        <w:tc>
          <w:tcPr>
            <w:tcW w:w="16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0.6%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.8%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不同规模企业对最低学历要求分布情况：</w:t>
      </w:r>
    </w:p>
    <w:tbl>
      <w:tblPr>
        <w:tblStyle w:val="5"/>
        <w:tblW w:w="8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10"/>
        <w:gridCol w:w="1712"/>
        <w:gridCol w:w="1712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高中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人以上</w:t>
            </w: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7.2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4.6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2.8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5.5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0.1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499</w:t>
            </w: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9.8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3.9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99</w:t>
            </w: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1.2%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4.4%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3.7%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以下</w:t>
            </w:r>
          </w:p>
        </w:tc>
        <w:tc>
          <w:tcPr>
            <w:tcW w:w="1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4.2%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2.3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</w:t>
            </w:r>
            <w:r>
              <w:rPr>
                <w:rFonts w:hint="eastAsia"/>
              </w:rPr>
              <w:t>%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8.8</w:t>
            </w:r>
            <w:r>
              <w:rPr>
                <w:rFonts w:hint="eastAsia"/>
              </w:rPr>
              <w:t>%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游戏企业对人才的学历要求较高，超过8</w:t>
      </w:r>
      <w:r>
        <w:t>0</w:t>
      </w:r>
      <w:r>
        <w:rPr>
          <w:rFonts w:hint="eastAsia"/>
        </w:rPr>
        <w:t>%的企业要求本科及以上学历，尤其是大公司更青睐高学历人才。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学历差异对游戏企业提供的薪资水平差异明显。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三、截止2019年开设与游戏行业强相关专业的高校：（地区图可视化呈现）</w:t>
      </w:r>
    </w:p>
    <w:tbl>
      <w:tblPr>
        <w:tblStyle w:val="5"/>
        <w:tblW w:w="9230" w:type="dxa"/>
        <w:tblInd w:w="-3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0"/>
        <w:gridCol w:w="1997"/>
        <w:gridCol w:w="1258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地区</w:t>
            </w:r>
          </w:p>
        </w:tc>
        <w:tc>
          <w:tcPr>
            <w:tcW w:w="199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高校类型（？）</w:t>
            </w:r>
          </w:p>
        </w:tc>
        <w:tc>
          <w:tcPr>
            <w:tcW w:w="503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强相关专业名称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北京市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北京汇佳职业学院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动画与游戏制作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现代软件学院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上海市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上海工艺美术职业学院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上海工商外国语职业学院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游戏设计（简介）；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游戏设计（（中日合作）简介）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上海邦德职业技术学院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上海电影艺术职业学院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重庆市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重庆科创职业学院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软件技术（游戏软件技术方向）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重庆艺术工程职业学院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游戏设计（游戏美工与电子竞技）；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游戏设计（VR游戏设计）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重庆工程学院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重庆信息技术职业学院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重庆艺术工程职业学院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游戏设计（游戏美工与电子竞技）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湖北省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长江职业学院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武汉工程职业技术学院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动漫制作技术（游戏设计与制作方向）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湖北轻工职业技术学院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广告设计与制作（游戏设计方向）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武汉软件工程职业学院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影视动画（网络游戏、影视特效设计制作方向）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湖北科技职业学院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湖北商贸学院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计算机科学与技术（包含WEB前端开发VRAR游戏开发方向）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湖北财税职业学院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河南省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南阳师范学院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软件技术（游戏开发技术方向）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郑州财税金融职业学院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动漫制作技术（影视、游戏特效师方向）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黄淮学院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动画（游戏美术方向）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南阳理工学院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软件工程（游戏开发技术方向）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三门峡社会管理职业学院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广东省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广东轻工职业技术学院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深圳职业技术学院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广东科学技术职业学院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数字媒体艺术设计（游戏美术设计方向）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软件技术（游戏制作）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广东机电职业技术学院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软件技术（手机游戏开发）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深圳信息职业技术学院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广东文艺职业学院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广东理工职业学院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游戏设计（美术类）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广州松田职业学院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江苏省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苏州工艺美术职业技术学院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建东职业技术学院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宿迁职业技术学院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动漫制作技术（网络游戏方向）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无锡工艺职业技术学院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中国传媒大学南广学院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艺术与科技（电子竞技设计与运营）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镇江市高等专科学校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苏州工业园区职业技术学院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河北省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石家庄职业技术学院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张家口职业技术学院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软件技术（手机游戏开发方向）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河北软件职业技术学院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软件技术（游戏软件开发方向）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河北工程技术学院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软件技术（含游戏开发方向）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石家庄科技信息职业学院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河北软件职业技术学院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河北美术学院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福建省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福州职业技术学院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三明医学科技职业学院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江西省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九江职业技术学院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江西工业工程职业技术学院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数字媒体应用技术（九星订单班3D游戏设计方向）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江西工程职业学院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软件技术（网络游戏开发与测试方向）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南昌影视传播职业学院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数字媒体应用技术（手机动漫游戏设计方向）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南昌航空大学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教育技术学（游戏软件开发）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南昌工学院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海南省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海南职业技术学院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海南软件职业技术学院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海南体育职业技术学院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湖南省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湖南科技职业学院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软件技术（游戏软件开发方向）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张家界航空工业职业技术学院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软件技术（游戏软件方向）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湖南工艺美术职业学院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动漫制作技术（游戏设计与制作方向）；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湘潭大学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动画系（游戏设计方向）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湖南体育职业学院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内蒙古自治区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内蒙古电子信息职业技术学院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软件技术（游戏设计与制作方向）；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软件技术（游戏开发工程师方向）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兴安职业技术学院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计算机应用（计算机网络技术、电子竞技运动与管理、云计算技术与应用）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锡林郭勒职业学院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四川省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四川国际标榜职业学院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软件技术（游戏动漫制作与技术）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成都艺术职业学院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软件技术（数字游戏）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四川传媒学院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影视动画（影视动画分设数字动画、动漫游戏、MG动画方向）；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艺术与科技（电子竞技分析方向）；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成都文理学院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广告设计与制作（游戏美术设计与制作）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四川艺术职业学院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四川科技职业学院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四川文化产业职业学院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0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四川电影电视学院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数字媒体艺术设计（含新媒体制作、影视特效、游戏竞技和管理方向）；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数字媒体艺术（含数字影视、动漫游戏、电子竞技方向）；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动画（影视动画、动漫产品设计、动画游戏方向）；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电子竞技运动与管理（含电子竞技运动选手管理方向和电子竞技运动产业管理及服务方向）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四川音乐学院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动画（—游戏设计与制作）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电子科技大学成都学院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软件工程（游戏程序设计）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四川传媒学院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动画（3D影视动画、游戏美术）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四川大学锦江学院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广播电视编导（电子竞技方向）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山东省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山东电子职业技术学院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山东艺术设计职业学院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艺术设计（游戏动漫方向）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青岛农业大学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动画（含二维动画、三维动画、虚拟现实与游戏设计方向）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黑龙江省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哈尔滨科学技术职业学院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黑龙江商业职业学院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restart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安徽省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安徽绿海商务职业学院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vMerge w:val="continue"/>
            <w:tcBorders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合肥共达职业技术学院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甘肃省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兰州文理学院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数字媒体技术（动画游戏与影视后期）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tcBorders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辽宁省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大连东软信息学院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艺术设计（游戏设计方向）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940" w:type="dxa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山西省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山西体育职业学院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陕西省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西安汽车科技职业学院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940" w:type="dxa"/>
            <w:tcBorders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贵州省</w:t>
            </w:r>
          </w:p>
        </w:tc>
        <w:tc>
          <w:tcPr>
            <w:tcW w:w="19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贵州大学明德学院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计算机科学与技术（游戏软件设计方向）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总结：自2016年起，我国高校开始陆续开设与游戏和电竞强相关的专业。高校已成为游戏相关产业人才培养的重要方式之一，截止2019年四月，仅不到三年时间，已开设与游戏和电竞强相关的专业的高校已有89所。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在地理分布上，游戏产业发展较快的地区开设相关专业的高校较多，例如四川、重庆、上海、广东、湖北等地。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F0"/>
    <w:rsid w:val="000107C9"/>
    <w:rsid w:val="000B7763"/>
    <w:rsid w:val="000E78C7"/>
    <w:rsid w:val="002A02A1"/>
    <w:rsid w:val="0042065E"/>
    <w:rsid w:val="00445681"/>
    <w:rsid w:val="00522990"/>
    <w:rsid w:val="00734F57"/>
    <w:rsid w:val="007835F0"/>
    <w:rsid w:val="008B79E3"/>
    <w:rsid w:val="00930D8C"/>
    <w:rsid w:val="009A00B9"/>
    <w:rsid w:val="00B5241E"/>
    <w:rsid w:val="00BF2CB3"/>
    <w:rsid w:val="00C1419C"/>
    <w:rsid w:val="6840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note text"/>
    <w:basedOn w:val="1"/>
    <w:link w:val="10"/>
    <w:unhideWhenUsed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6">
    <w:name w:val="Light Shading Accent 1"/>
    <w:basedOn w:val="4"/>
    <w:uiPriority w:val="60"/>
    <w:rPr>
      <w:color w:val="2F5597" w:themeColor="accent1" w:themeShade="BF"/>
      <w:kern w:val="0"/>
      <w:sz w:val="22"/>
    </w:rPr>
    <w:tblPr>
      <w:tblBorders>
        <w:top w:val="single" w:color="4472C4" w:themeColor="accent1" w:sz="8" w:space="0"/>
        <w:bottom w:val="single" w:color="4472C4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paragraph" w:customStyle="1" w:styleId="9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10">
    <w:name w:val="脚注文本 字符"/>
    <w:basedOn w:val="7"/>
    <w:link w:val="3"/>
    <w:uiPriority w:val="99"/>
    <w:rPr>
      <w:rFonts w:cs="Times New Roman"/>
      <w:kern w:val="0"/>
      <w:sz w:val="20"/>
      <w:szCs w:val="20"/>
    </w:rPr>
  </w:style>
  <w:style w:type="character" w:customStyle="1" w:styleId="11">
    <w:name w:val="Subtle Emphasis"/>
    <w:basedOn w:val="7"/>
    <w:qFormat/>
    <w:uiPriority w:val="19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1044</Characters>
  <Lines>8</Lines>
  <Paragraphs>2</Paragraphs>
  <TotalTime>73</TotalTime>
  <ScaleCrop>false</ScaleCrop>
  <LinksUpToDate>false</LinksUpToDate>
  <CharactersWithSpaces>1225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2019-04-23T13:27:00Z</dcterms:created>
  <dc:creator>蓥 童</dc:creator>
  <cp:lastModifiedBy>二筒菌</cp:lastModifiedBy>
  <dcterms:modified xsi:type="dcterms:W3CDTF">2019-04-24T15:16:35Z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