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电子竞技行业的产业化进程</w:t>
      </w:r>
    </w:p>
    <w:p>
      <w:pPr>
        <w:ind w:firstLine="420" w:firstLineChars="200"/>
        <w:rPr>
          <w:rFonts w:hint="default"/>
          <w:lang w:val="en-US" w:eastAsia="zh-CN"/>
        </w:rPr>
      </w:pPr>
      <w:r>
        <w:rPr>
          <w:rFonts w:hint="eastAsia"/>
          <w:lang w:val="en-US" w:eastAsia="zh-CN"/>
        </w:rPr>
        <w:t>2019年中国电竞市场规模为。随着电竞行业的产业化，很多职业教育院校和本科高校，都纷纷开设了电竞专业和电竞课程。电子竞技行业如今已进入黄金时代，本文将从数据入手分析电子竞技行业的产业化进程。</w:t>
      </w:r>
      <w:bookmarkStart w:id="0" w:name="_GoBack"/>
      <w:bookmarkEnd w:id="0"/>
    </w:p>
    <w:p>
      <w:pPr>
        <w:ind w:firstLine="420" w:firstLineChars="200"/>
        <w:rPr>
          <w:rFonts w:hint="eastAsia"/>
        </w:rPr>
      </w:pPr>
      <w:r>
        <w:rPr>
          <w:rFonts w:hint="eastAsia"/>
          <w:lang w:val="en-US" w:eastAsia="zh-CN"/>
        </w:rPr>
        <w:t>本文重点研究电竞行业的快速发展时期：2008年-2015年是</w:t>
      </w:r>
      <w:r>
        <w:rPr>
          <w:rFonts w:hint="eastAsia"/>
        </w:rPr>
        <w:t>网络游戏时代, 电子竞技逐渐与网络游戏分离, 世界电子竞技产业的中心开始逐渐向中国转移</w:t>
      </w:r>
      <w:r>
        <w:rPr>
          <w:rFonts w:hint="eastAsia"/>
          <w:lang w:eastAsia="zh-CN"/>
        </w:rPr>
        <w:t>。</w:t>
      </w:r>
      <w:r>
        <w:rPr>
          <w:rFonts w:hint="eastAsia"/>
        </w:rPr>
        <w:t>2015—2017</w:t>
      </w:r>
      <w:r>
        <w:rPr>
          <w:rFonts w:hint="eastAsia"/>
          <w:lang w:val="en-US" w:eastAsia="zh-CN"/>
        </w:rPr>
        <w:t>年进入</w:t>
      </w:r>
      <w:r>
        <w:rPr>
          <w:rFonts w:hint="eastAsia"/>
        </w:rPr>
        <w:t>手机游戏时代,</w:t>
      </w:r>
      <w:r>
        <w:rPr>
          <w:rFonts w:hint="eastAsia"/>
          <w:lang w:eastAsia="zh-CN"/>
        </w:rPr>
        <w:t>。</w:t>
      </w:r>
      <w:r>
        <w:rPr>
          <w:rFonts w:hint="eastAsia"/>
        </w:rPr>
        <w:t>2015年, 随着智能手机的普及, 电竞手机游戏时代来临。中国电子竞技产业首次超越韩国, 成为世界发展最快用户最多的国家;2017年至今</w:t>
      </w:r>
      <w:r>
        <w:rPr>
          <w:rFonts w:hint="eastAsia"/>
          <w:lang w:val="en-US" w:eastAsia="zh-CN"/>
        </w:rPr>
        <w:t>发展成了</w:t>
      </w:r>
      <w:r>
        <w:rPr>
          <w:rFonts w:hint="eastAsia"/>
        </w:rPr>
        <w:t>各种端口融合</w:t>
      </w:r>
      <w:r>
        <w:rPr>
          <w:rFonts w:hint="eastAsia"/>
          <w:lang w:val="en-US" w:eastAsia="zh-CN"/>
        </w:rPr>
        <w:t>的</w:t>
      </w:r>
      <w:r>
        <w:rPr>
          <w:rFonts w:hint="eastAsia"/>
        </w:rPr>
        <w:t>发展时代</w:t>
      </w:r>
      <w:r>
        <w:rPr>
          <w:rFonts w:hint="eastAsia"/>
          <w:lang w:eastAsia="zh-CN"/>
        </w:rPr>
        <w:t>。</w:t>
      </w:r>
      <w:r>
        <w:rPr>
          <w:rFonts w:hint="eastAsia"/>
        </w:rPr>
        <w:t>街机, PC, 移动共同繁荣阶段。电子竞技产业发展迅速, 电子竞技产业发展迅猛。</w:t>
      </w:r>
    </w:p>
    <w:p>
      <w:pPr>
        <w:ind w:firstLine="420" w:firstLineChars="200"/>
        <w:rPr>
          <w:rFonts w:hint="default"/>
          <w:lang w:val="en-US" w:eastAsia="zh-CN"/>
        </w:rPr>
      </w:pPr>
      <w:r>
        <w:rPr>
          <w:rFonts w:hint="eastAsia"/>
          <w:lang w:val="en-US" w:eastAsia="zh-CN"/>
        </w:rPr>
        <w:t>电子竞技行业如今也发展成为相对成熟的产业，该行业现已形成较为完整的产业链。具体由三部分组成。产业上游由游戏开发商、游戏发行商、游戏运行商组成，主要负责游戏的开发、运行和运营。中游包括赛事赞助商、赛事运营、赛事参与方和赛事内容制造商。电视播出平台、视频网站播出平台还有以斗鱼TV、熊猫TV的在线游戏直播平台等落地平台组成了产业下游。除此之外，还出现了一些下游衍生行业。</w:t>
      </w:r>
    </w:p>
    <w:p>
      <w:pPr>
        <w:rPr>
          <w:rFonts w:hint="eastAsia" w:ascii="Arial" w:hAnsi="Arial" w:eastAsia="宋体" w:cs="Arial"/>
          <w:i w:val="0"/>
          <w:caps w:val="0"/>
          <w:color w:val="333333"/>
          <w:spacing w:val="0"/>
          <w:sz w:val="16"/>
          <w:szCs w:val="16"/>
          <w:shd w:val="clear" w:fill="FFFFFF"/>
          <w:lang w:eastAsia="zh-CN"/>
        </w:rPr>
      </w:pPr>
      <w:r>
        <w:rPr>
          <w:rFonts w:hint="eastAsia" w:ascii="Arial" w:hAnsi="Arial" w:eastAsia="宋体" w:cs="Arial"/>
          <w:i w:val="0"/>
          <w:caps w:val="0"/>
          <w:color w:val="333333"/>
          <w:spacing w:val="0"/>
          <w:sz w:val="16"/>
          <w:szCs w:val="16"/>
          <w:shd w:val="clear" w:fill="FFFFFF"/>
          <w:lang w:eastAsia="zh-CN"/>
        </w:rPr>
        <w:drawing>
          <wp:inline distT="0" distB="0" distL="114300" distR="114300">
            <wp:extent cx="4206240" cy="1731010"/>
            <wp:effectExtent l="0" t="0" r="0" b="6350"/>
            <wp:docPr id="1" name="图片 1" descr="JLTY201803011_1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LTY201803011_15600"/>
                    <pic:cNvPicPr>
                      <a:picLocks noChangeAspect="1"/>
                    </pic:cNvPicPr>
                  </pic:nvPicPr>
                  <pic:blipFill>
                    <a:blip r:embed="rId4"/>
                    <a:stretch>
                      <a:fillRect/>
                    </a:stretch>
                  </pic:blipFill>
                  <pic:spPr>
                    <a:xfrm>
                      <a:off x="0" y="0"/>
                      <a:ext cx="4206240" cy="1731010"/>
                    </a:xfrm>
                    <a:prstGeom prst="rect">
                      <a:avLst/>
                    </a:prstGeom>
                  </pic:spPr>
                </pic:pic>
              </a:graphicData>
            </a:graphic>
          </wp:inline>
        </w:drawing>
      </w:r>
      <w:r>
        <w:rPr>
          <w:rFonts w:hint="eastAsia" w:ascii="Arial" w:hAnsi="Arial" w:eastAsia="宋体" w:cs="Arial"/>
          <w:i w:val="0"/>
          <w:caps w:val="0"/>
          <w:color w:val="333333"/>
          <w:spacing w:val="0"/>
          <w:sz w:val="16"/>
          <w:szCs w:val="16"/>
          <w:shd w:val="clear" w:fill="FFFFFF"/>
          <w:lang w:eastAsia="zh-CN"/>
        </w:rPr>
        <w:t>、</w:t>
      </w:r>
    </w:p>
    <w:p>
      <w:pPr>
        <w:ind w:firstLine="420" w:firstLineChars="200"/>
        <w:rPr>
          <w:rFonts w:hint="eastAsia"/>
          <w:lang w:val="en-US" w:eastAsia="zh-CN"/>
        </w:rPr>
      </w:pPr>
      <w:r>
        <w:rPr>
          <w:rFonts w:hint="eastAsia"/>
          <w:lang w:val="en-US" w:eastAsia="zh-CN"/>
        </w:rPr>
        <w:t>本文重点从政策保障、商业模式、人才储备、技术研发、传媒宣传五个方向来研究中电子竞技行业的产业化进程。</w:t>
      </w:r>
    </w:p>
    <w:tbl>
      <w:tblPr>
        <w:tblW w:w="8330" w:type="dxa"/>
        <w:tblInd w:w="0" w:type="dxa"/>
        <w:shd w:val="clear"/>
        <w:tblLayout w:type="fixed"/>
        <w:tblCellMar>
          <w:top w:w="0" w:type="dxa"/>
          <w:left w:w="0" w:type="dxa"/>
          <w:bottom w:w="0" w:type="dxa"/>
          <w:right w:w="0" w:type="dxa"/>
        </w:tblCellMar>
      </w:tblPr>
      <w:tblGrid>
        <w:gridCol w:w="583"/>
        <w:gridCol w:w="871"/>
        <w:gridCol w:w="6876"/>
      </w:tblGrid>
      <w:tr>
        <w:tblPrEx>
          <w:tblLayout w:type="fixed"/>
          <w:tblCellMar>
            <w:top w:w="0" w:type="dxa"/>
            <w:left w:w="0" w:type="dxa"/>
            <w:bottom w:w="0" w:type="dxa"/>
            <w:right w:w="0" w:type="dxa"/>
          </w:tblCellMar>
        </w:tblPrEx>
        <w:trPr>
          <w:trHeight w:val="288" w:hRule="atLeast"/>
        </w:trPr>
        <w:tc>
          <w:tcPr>
            <w:tcW w:w="583"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时间</w:t>
            </w:r>
          </w:p>
        </w:tc>
        <w:tc>
          <w:tcPr>
            <w:tcW w:w="87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名称</w:t>
            </w:r>
          </w:p>
        </w:tc>
        <w:tc>
          <w:tcPr>
            <w:tcW w:w="6876"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内容</w:t>
            </w:r>
          </w:p>
        </w:tc>
      </w:tr>
      <w:tr>
        <w:tblPrEx>
          <w:tblLayout w:type="fixed"/>
          <w:tblCellMar>
            <w:top w:w="0" w:type="dxa"/>
            <w:left w:w="0" w:type="dxa"/>
            <w:bottom w:w="0" w:type="dxa"/>
            <w:right w:w="0" w:type="dxa"/>
          </w:tblCellMar>
        </w:tblPrEx>
        <w:trPr>
          <w:trHeight w:val="500" w:hRule="atLeast"/>
        </w:trPr>
        <w:tc>
          <w:tcPr>
            <w:tcW w:w="583"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2003.11</w:t>
            </w:r>
          </w:p>
        </w:tc>
        <w:tc>
          <w:tcPr>
            <w:tcW w:w="871" w:type="dxa"/>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6876"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国家体育总局批准电子竞技运动项目为第99个正式体育竞赛项目。</w:t>
            </w:r>
          </w:p>
        </w:tc>
      </w:tr>
      <w:tr>
        <w:tblPrEx>
          <w:tblLayout w:type="fixed"/>
          <w:tblCellMar>
            <w:top w:w="0" w:type="dxa"/>
            <w:left w:w="0" w:type="dxa"/>
            <w:bottom w:w="0" w:type="dxa"/>
            <w:right w:w="0" w:type="dxa"/>
          </w:tblCellMar>
        </w:tblPrEx>
        <w:trPr>
          <w:trHeight w:val="340" w:hRule="atLeast"/>
        </w:trPr>
        <w:tc>
          <w:tcPr>
            <w:tcW w:w="583"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2004</w:t>
            </w:r>
          </w:p>
        </w:tc>
        <w:tc>
          <w:tcPr>
            <w:tcW w:w="871" w:type="dxa"/>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6876"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广电总局发布网络游戏类节目的禁播令</w:t>
            </w:r>
          </w:p>
        </w:tc>
      </w:tr>
      <w:tr>
        <w:tblPrEx>
          <w:tblLayout w:type="fixed"/>
          <w:tblCellMar>
            <w:top w:w="0" w:type="dxa"/>
            <w:left w:w="0" w:type="dxa"/>
            <w:bottom w:w="0" w:type="dxa"/>
            <w:right w:w="0" w:type="dxa"/>
          </w:tblCellMar>
        </w:tblPrEx>
        <w:trPr>
          <w:trHeight w:val="440" w:hRule="atLeast"/>
        </w:trPr>
        <w:tc>
          <w:tcPr>
            <w:tcW w:w="583"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2008</w:t>
            </w:r>
          </w:p>
        </w:tc>
        <w:tc>
          <w:tcPr>
            <w:tcW w:w="87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电竞整合为体育运动</w:t>
            </w:r>
          </w:p>
        </w:tc>
        <w:tc>
          <w:tcPr>
            <w:tcW w:w="6876"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金融危机爆发的背景下，电竞产业举步维艰。国家体育总局整合现有的运动项目，将电竞重新整合为第78号体育运动。</w:t>
            </w:r>
          </w:p>
        </w:tc>
      </w:tr>
      <w:tr>
        <w:tblPrEx>
          <w:tblLayout w:type="fixed"/>
          <w:tblCellMar>
            <w:top w:w="0" w:type="dxa"/>
            <w:left w:w="0" w:type="dxa"/>
            <w:bottom w:w="0" w:type="dxa"/>
            <w:right w:w="0" w:type="dxa"/>
          </w:tblCellMar>
        </w:tblPrEx>
        <w:trPr>
          <w:trHeight w:val="288" w:hRule="atLeast"/>
        </w:trPr>
        <w:tc>
          <w:tcPr>
            <w:tcW w:w="583"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2013</w:t>
            </w:r>
          </w:p>
        </w:tc>
        <w:tc>
          <w:tcPr>
            <w:tcW w:w="87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电竞组建国家队，参加运动会</w:t>
            </w:r>
          </w:p>
        </w:tc>
        <w:tc>
          <w:tcPr>
            <w:tcW w:w="6876"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国家体育总局决定成立电子竞技国家队，出站第四届亚洲室内和武道运动会。</w:t>
            </w:r>
          </w:p>
        </w:tc>
      </w:tr>
      <w:tr>
        <w:tblPrEx>
          <w:shd w:val="clear"/>
          <w:tblLayout w:type="fixed"/>
          <w:tblCellMar>
            <w:top w:w="0" w:type="dxa"/>
            <w:left w:w="0" w:type="dxa"/>
            <w:bottom w:w="0" w:type="dxa"/>
            <w:right w:w="0" w:type="dxa"/>
          </w:tblCellMar>
        </w:tblPrEx>
        <w:trPr>
          <w:trHeight w:val="680" w:hRule="atLeast"/>
        </w:trPr>
        <w:tc>
          <w:tcPr>
            <w:tcW w:w="583"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2016.4</w:t>
            </w:r>
          </w:p>
        </w:tc>
        <w:tc>
          <w:tcPr>
            <w:tcW w:w="871" w:type="dxa"/>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6876"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国家发改委明确指出在做好知识产权保护和对青少年引导的前提下，以企业为主体，举办全国性或国际性电子竞技游戏游艺赛事活动。</w:t>
            </w:r>
          </w:p>
        </w:tc>
      </w:tr>
      <w:tr>
        <w:tblPrEx>
          <w:tblLayout w:type="fixed"/>
          <w:tblCellMar>
            <w:top w:w="0" w:type="dxa"/>
            <w:left w:w="0" w:type="dxa"/>
            <w:bottom w:w="0" w:type="dxa"/>
            <w:right w:w="0" w:type="dxa"/>
          </w:tblCellMar>
        </w:tblPrEx>
        <w:trPr>
          <w:trHeight w:val="288" w:hRule="atLeast"/>
        </w:trPr>
        <w:tc>
          <w:tcPr>
            <w:tcW w:w="583"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2016.7</w:t>
            </w:r>
          </w:p>
        </w:tc>
        <w:tc>
          <w:tcPr>
            <w:tcW w:w="871" w:type="dxa"/>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6876"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国家体育总局指出“以冰雹、山地户外、水上、汽摩、航空、电竞等运动项目为重点，引导具有消费引领性的健身休闲项目发展。”</w:t>
            </w:r>
          </w:p>
        </w:tc>
      </w:tr>
      <w:tr>
        <w:tblPrEx>
          <w:shd w:val="clear"/>
          <w:tblLayout w:type="fixed"/>
          <w:tblCellMar>
            <w:top w:w="0" w:type="dxa"/>
            <w:left w:w="0" w:type="dxa"/>
            <w:bottom w:w="0" w:type="dxa"/>
            <w:right w:w="0" w:type="dxa"/>
          </w:tblCellMar>
        </w:tblPrEx>
        <w:trPr>
          <w:trHeight w:val="288" w:hRule="atLeast"/>
        </w:trPr>
        <w:tc>
          <w:tcPr>
            <w:tcW w:w="583"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2016.9</w:t>
            </w:r>
          </w:p>
        </w:tc>
        <w:tc>
          <w:tcPr>
            <w:tcW w:w="87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《普通高等学校高等职业教育(专科)专业目录》</w:t>
            </w:r>
          </w:p>
        </w:tc>
        <w:tc>
          <w:tcPr>
            <w:tcW w:w="6876"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教育部发布了《普通高等学校高等职业教育(专科)专业目录》,增补了”电子竟技运动与管理”专业。截止到2018年1月，已有13个院校发布了其电子竟技相关专业的开设及招生情况。</w:t>
            </w:r>
          </w:p>
        </w:tc>
      </w:tr>
      <w:tr>
        <w:tblPrEx>
          <w:tblLayout w:type="fixed"/>
          <w:tblCellMar>
            <w:top w:w="0" w:type="dxa"/>
            <w:left w:w="0" w:type="dxa"/>
            <w:bottom w:w="0" w:type="dxa"/>
            <w:right w:w="0" w:type="dxa"/>
          </w:tblCellMar>
        </w:tblPrEx>
        <w:trPr>
          <w:trHeight w:val="288" w:hRule="atLeast"/>
        </w:trPr>
        <w:tc>
          <w:tcPr>
            <w:tcW w:w="583"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2017.1</w:t>
            </w:r>
          </w:p>
        </w:tc>
        <w:tc>
          <w:tcPr>
            <w:tcW w:w="87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国际奥委会认证电子竞技运动为正式体育项目</w:t>
            </w:r>
          </w:p>
        </w:tc>
        <w:tc>
          <w:tcPr>
            <w:tcW w:w="6876"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国际奥委会正式宣布，认证电子竞技运动为正式体育项目，代表着国际奥委会将开始把电子竞技纳入奥运会比赛项目。</w:t>
            </w:r>
          </w:p>
        </w:tc>
      </w:tr>
      <w:tr>
        <w:tblPrEx>
          <w:tblLayout w:type="fixed"/>
          <w:tblCellMar>
            <w:top w:w="0" w:type="dxa"/>
            <w:left w:w="0" w:type="dxa"/>
            <w:bottom w:w="0" w:type="dxa"/>
            <w:right w:w="0" w:type="dxa"/>
          </w:tblCellMar>
        </w:tblPrEx>
        <w:trPr>
          <w:trHeight w:val="288" w:hRule="atLeast"/>
        </w:trPr>
        <w:tc>
          <w:tcPr>
            <w:tcW w:w="583"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2017.4</w:t>
            </w:r>
          </w:p>
        </w:tc>
        <w:tc>
          <w:tcPr>
            <w:tcW w:w="87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《文化部“十三五”时期文化产业发展规划》</w:t>
            </w:r>
          </w:p>
        </w:tc>
        <w:tc>
          <w:tcPr>
            <w:tcW w:w="6876"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文化部发布了《文化部“十三五”时期文化产业发展规划》，提出推进游戏产业结构升级，推动网络游戏、电子游戏等游戏门类协调发展，促进移动游戏、电子竞技、游戏直播、虚拟现实游戏等新业态发展。</w:t>
            </w:r>
          </w:p>
        </w:tc>
      </w:tr>
      <w:tr>
        <w:tblPrEx>
          <w:tblLayout w:type="fixed"/>
          <w:tblCellMar>
            <w:top w:w="0" w:type="dxa"/>
            <w:left w:w="0" w:type="dxa"/>
            <w:bottom w:w="0" w:type="dxa"/>
            <w:right w:w="0" w:type="dxa"/>
          </w:tblCellMar>
        </w:tblPrEx>
        <w:trPr>
          <w:trHeight w:val="288" w:hRule="atLeast"/>
        </w:trPr>
        <w:tc>
          <w:tcPr>
            <w:tcW w:w="583"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2017.4</w:t>
            </w:r>
          </w:p>
        </w:tc>
        <w:tc>
          <w:tcPr>
            <w:tcW w:w="871" w:type="dxa"/>
            <w:tcBorders>
              <w:top w:val="nil"/>
              <w:left w:val="nil"/>
              <w:bottom w:val="nil"/>
              <w:right w:val="nil"/>
            </w:tcBorders>
            <w:shd w:val="clear"/>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6876"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腾讯召开2017年电竞战略发布会，战略的核心, 便是效仿NBA模式的电竞体育联盟化。</w:t>
            </w:r>
          </w:p>
        </w:tc>
      </w:tr>
      <w:tr>
        <w:tblPrEx>
          <w:tblLayout w:type="fixed"/>
          <w:tblCellMar>
            <w:top w:w="0" w:type="dxa"/>
            <w:left w:w="0" w:type="dxa"/>
            <w:bottom w:w="0" w:type="dxa"/>
            <w:right w:w="0" w:type="dxa"/>
          </w:tblCellMar>
        </w:tblPrEx>
        <w:trPr>
          <w:trHeight w:val="288" w:hRule="atLeast"/>
        </w:trPr>
        <w:tc>
          <w:tcPr>
            <w:tcW w:w="583"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2018.5</w:t>
            </w:r>
          </w:p>
        </w:tc>
        <w:tc>
          <w:tcPr>
            <w:tcW w:w="87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《关于加强网络表演管理工作的通知》</w:t>
            </w:r>
          </w:p>
        </w:tc>
        <w:tc>
          <w:tcPr>
            <w:tcW w:w="6876"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亚洲奥林匹克理事会宣布6款游戏入围亚运会比赛项目，电竞作为表演赛第一次进入亚运会， 是电竞第-次进入世界级的运动赛事《英雄联盟》、( Arena of Valor》(王者荣耀海外版) 、《 皇室战争》《炉石传说》、《实况足球》 、《星际争霸2》 。</w:t>
            </w:r>
          </w:p>
        </w:tc>
      </w:tr>
      <w:tr>
        <w:tblPrEx>
          <w:tblLayout w:type="fixed"/>
          <w:tblCellMar>
            <w:top w:w="0" w:type="dxa"/>
            <w:left w:w="0" w:type="dxa"/>
            <w:bottom w:w="0" w:type="dxa"/>
            <w:right w:w="0" w:type="dxa"/>
          </w:tblCellMar>
        </w:tblPrEx>
        <w:trPr>
          <w:trHeight w:val="288" w:hRule="atLeast"/>
        </w:trPr>
        <w:tc>
          <w:tcPr>
            <w:tcW w:w="583"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2018.7</w:t>
            </w:r>
          </w:p>
        </w:tc>
        <w:tc>
          <w:tcPr>
            <w:tcW w:w="871"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《关于举办2018年全国电子竞技公开赛的通知》</w:t>
            </w:r>
          </w:p>
        </w:tc>
        <w:tc>
          <w:tcPr>
            <w:tcW w:w="6876" w:type="dxa"/>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国家体育总局发布了《关于举办2018年全国电子竞技公开赛的通知》，指出为了进一步促进电子竞技在我国的发展，提高我国电子竞技运动员的综合竞技水平，经研究，拟于2018年12月在四川成都举办2018年全国电子竞技公开赛总决赛，具体时间、场馆待确定后将以补充通知的形式印发。</w:t>
            </w:r>
          </w:p>
        </w:tc>
      </w:tr>
    </w:tbl>
    <w:p>
      <w:pPr>
        <w:ind w:firstLine="420" w:firstLineChars="200"/>
        <w:rPr>
          <w:rFonts w:hint="eastAsia" w:ascii="宋体" w:hAnsi="宋体" w:eastAsia="宋体" w:cs="宋体"/>
          <w:i w:val="0"/>
          <w:color w:val="000000"/>
          <w:kern w:val="0"/>
          <w:sz w:val="22"/>
          <w:szCs w:val="22"/>
          <w:u w:val="none"/>
          <w:lang w:val="en-US" w:eastAsia="zh-CN" w:bidi="ar"/>
        </w:rPr>
      </w:pPr>
      <w:r>
        <w:rPr>
          <w:rFonts w:hint="eastAsia"/>
          <w:lang w:val="en-US" w:eastAsia="zh-CN"/>
        </w:rPr>
        <w:t>政策扶持方面，从2008年到2018年颁布的相关政策能看出政府是鼓励中国电子竞技行业发展的。从2003年开始，</w:t>
      </w:r>
      <w:r>
        <w:rPr>
          <w:rFonts w:hint="eastAsia" w:ascii="宋体" w:hAnsi="宋体" w:eastAsia="宋体" w:cs="宋体"/>
          <w:i w:val="0"/>
          <w:color w:val="000000"/>
          <w:kern w:val="0"/>
          <w:sz w:val="22"/>
          <w:szCs w:val="22"/>
          <w:u w:val="none"/>
          <w:lang w:val="en-US" w:eastAsia="zh-CN" w:bidi="ar"/>
        </w:rPr>
        <w:t>电子竞技运动项目被纳入正式体育竞赛项目。此后，无论是人才培养还是在行业发展方面，国家都出台了不少政策来提供支持。目前，国家颁布的政策主要在“娱乐产业”方面和“运动”产业两方面，积极推动着电子竞技行业作为竞技和赛事项目的发展。这些政策都为电子竞技行业引入金融资本和社会资源提供了更多机遇。然而，同样通过统计的数据能发现国家同样持观望的态度。由上文给出的产业链构成，可看到电子竞技目前只在一些网络视频直播平台上线，受众群体相对比较局限。遗憾的是，</w:t>
      </w:r>
      <w:r>
        <w:rPr>
          <w:rFonts w:hint="eastAsia" w:ascii="宋体" w:hAnsi="宋体" w:eastAsia="宋体" w:cs="宋体"/>
          <w:i w:val="0"/>
          <w:color w:val="000000"/>
          <w:kern w:val="0"/>
          <w:sz w:val="22"/>
          <w:szCs w:val="22"/>
          <w:u w:val="none"/>
          <w:lang w:val="en-US" w:eastAsia="zh-CN" w:bidi="ar"/>
        </w:rPr>
        <w:t>我国电视渠道仍没有对电子竞技这项新兴运动全面开放。</w:t>
      </w:r>
    </w:p>
    <w:p>
      <w:pPr>
        <w:ind w:firstLine="440" w:firstLineChars="200"/>
        <w:rPr>
          <w:rFonts w:hint="eastAsia" w:ascii="Arial" w:hAnsi="Arial" w:eastAsia="宋体" w:cs="Arial"/>
          <w:i w:val="0"/>
          <w:caps w:val="0"/>
          <w:color w:val="333333"/>
          <w:spacing w:val="0"/>
          <w:sz w:val="16"/>
          <w:szCs w:val="16"/>
          <w:shd w:val="clear" w:fill="FFFFFF"/>
          <w:lang w:eastAsia="zh-CN"/>
        </w:rPr>
      </w:pPr>
      <w:r>
        <w:rPr>
          <w:rFonts w:hint="eastAsia" w:ascii="宋体" w:hAnsi="宋体" w:eastAsia="宋体" w:cs="宋体"/>
          <w:i w:val="0"/>
          <w:color w:val="000000"/>
          <w:kern w:val="0"/>
          <w:sz w:val="22"/>
          <w:szCs w:val="22"/>
          <w:u w:val="none"/>
          <w:lang w:val="en-US" w:eastAsia="zh-CN" w:bidi="ar"/>
        </w:rPr>
        <w:t>总的来说，国内在近年来对电子竞技行业出台了不少相关扶持政策，为电子竞技行业引入资本投资和社会资源奠定了基础。不足的是，缺乏相关如韩国在投资、技术研发、监管行政等方面将电子竞技行业推动发展为支柱产业涉及多元充分的政策。电子竞技产业在这几年来已迈入发展的“黄金时期”，笔者相信未来政府如能继续积极扶持，形成一定完善的体系，电子竞技行业仍会在以后蓬勃发展，成为富有宝贵经济价值和文化价值的产业。</w:t>
      </w:r>
    </w:p>
    <w:p>
      <w:pPr>
        <w:rPr>
          <w:rFonts w:hint="eastAsia" w:ascii="Arial" w:hAnsi="Arial" w:eastAsia="宋体" w:cs="Arial"/>
          <w:i w:val="0"/>
          <w:caps w:val="0"/>
          <w:color w:val="333333"/>
          <w:spacing w:val="0"/>
          <w:sz w:val="16"/>
          <w:szCs w:val="16"/>
          <w:shd w:val="clear" w:fill="FFFFFF"/>
          <w:lang w:eastAsia="zh-CN"/>
        </w:rPr>
      </w:pPr>
    </w:p>
    <w:p>
      <w:pPr>
        <w:numPr>
          <w:numId w:val="0"/>
        </w:numPr>
        <w:tabs>
          <w:tab w:val="left" w:pos="7627"/>
        </w:tabs>
        <w:rPr>
          <w:rFonts w:hint="eastAsia" w:ascii="Arial" w:hAnsi="Arial" w:eastAsia="宋体" w:cs="Arial"/>
          <w:i w:val="0"/>
          <w:caps w:val="0"/>
          <w:color w:val="333333"/>
          <w:spacing w:val="0"/>
          <w:sz w:val="16"/>
          <w:szCs w:val="16"/>
          <w:shd w:val="clear" w:fill="FFFFFF"/>
          <w:lang w:eastAsia="zh-CN"/>
        </w:rPr>
      </w:pPr>
      <w:r>
        <w:rPr>
          <w:rFonts w:hint="default" w:ascii="Arial" w:hAnsi="Arial" w:eastAsia="宋体" w:cs="Arial"/>
          <w:i w:val="0"/>
          <w:caps w:val="0"/>
          <w:color w:val="333333"/>
          <w:spacing w:val="0"/>
          <w:kern w:val="0"/>
          <w:sz w:val="18"/>
          <w:szCs w:val="18"/>
          <w:lang w:val="en-US" w:eastAsia="zh-CN" w:bidi="ar"/>
        </w:rPr>
        <w:t>[1]</w:t>
      </w:r>
      <w:r>
        <w:rPr>
          <w:rFonts w:hint="eastAsia" w:ascii="Arial" w:hAnsi="Arial" w:eastAsia="宋体" w:cs="Arial"/>
          <w:i w:val="0"/>
          <w:caps w:val="0"/>
          <w:color w:val="333333"/>
          <w:spacing w:val="0"/>
          <w:sz w:val="16"/>
          <w:szCs w:val="16"/>
          <w:shd w:val="clear" w:fill="FFFFFF"/>
        </w:rPr>
        <w:t>游继之布特.我国电子竞技产业链发展现状及前景研究[J].吉林体育学院学报,2018,34(03):56-62.</w:t>
      </w:r>
      <w:r>
        <w:rPr>
          <w:rFonts w:hint="eastAsia" w:ascii="Arial" w:hAnsi="Arial" w:eastAsia="宋体" w:cs="Arial"/>
          <w:i w:val="0"/>
          <w:caps w:val="0"/>
          <w:color w:val="333333"/>
          <w:spacing w:val="0"/>
          <w:sz w:val="16"/>
          <w:szCs w:val="16"/>
          <w:shd w:val="clear" w:fill="FFFFFF"/>
          <w:lang w:eastAsia="zh-CN"/>
        </w:rPr>
        <w:tab/>
      </w:r>
    </w:p>
    <w:tbl>
      <w:tblPr>
        <w:tblStyle w:val="4"/>
        <w:tblW w:w="1068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CellSpacing w:w="15" w:type="dxa"/>
        </w:trPr>
        <w:tc>
          <w:tcPr>
            <w:tcW w:w="10620" w:type="dxa"/>
            <w:shd w:val="clear" w:color="auto" w:fill="FFFFFF"/>
            <w:tcMar>
              <w:top w:w="60" w:type="dxa"/>
              <w:bottom w:w="60" w:type="dxa"/>
            </w:tcMar>
            <w:vAlign w:val="center"/>
          </w:tcPr>
          <w:p>
            <w:pPr>
              <w:keepNext w:val="0"/>
              <w:keepLines w:val="0"/>
              <w:widowControl/>
              <w:suppressLineNumbers w:val="0"/>
              <w:shd w:val="clear" w:fill="FFFFFF"/>
              <w:wordWrap w:val="0"/>
              <w:spacing w:before="0" w:beforeAutospacing="0" w:after="0" w:afterAutospacing="0"/>
              <w:ind w:left="0" w:right="0" w:firstLine="0"/>
              <w:jc w:val="left"/>
              <w:rPr>
                <w:rFonts w:hint="eastAsia"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[1]蔡易彤. 我国电子竞技产业的投资趋势与前景研究[D].对外经济贸易大学,2016.</w:t>
            </w:r>
          </w:p>
        </w:tc>
      </w:tr>
    </w:tbl>
    <w:p>
      <w:pPr>
        <w:rPr>
          <w:rFonts w:hint="eastAsia"/>
        </w:rPr>
      </w:pPr>
      <w:r>
        <w:rPr>
          <w:rFonts w:hint="eastAsia"/>
        </w:rPr>
        <w:t xml:space="preserve">[1]方润.电子竞技产业发展探讨[J].当代体育科技,2019,9(04):230-231+235. </w:t>
      </w:r>
    </w:p>
    <w:tbl>
      <w:tblPr>
        <w:tblW w:w="1069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6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634" w:type="dxa"/>
            <w:shd w:val="clear" w:color="auto" w:fill="FFFFFF"/>
            <w:tcMar>
              <w:top w:w="60" w:type="dxa"/>
              <w:bottom w:w="60" w:type="dxa"/>
            </w:tcMar>
            <w:vAlign w:val="center"/>
          </w:tcPr>
          <w:p>
            <w:pPr>
              <w:keepNext w:val="0"/>
              <w:keepLines w:val="0"/>
              <w:widowControl/>
              <w:suppressLineNumbers w:val="0"/>
              <w:shd w:val="clear" w:fill="FFFFFF"/>
              <w:wordWrap w:val="0"/>
              <w:spacing w:before="0" w:beforeAutospacing="0" w:after="0" w:afterAutospacing="0"/>
              <w:ind w:left="0" w:right="0" w:firstLine="0"/>
              <w:jc w:val="left"/>
              <w:rPr>
                <w:rFonts w:hint="eastAsia"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bdr w:val="none" w:color="auto" w:sz="0" w:space="0"/>
                <w:lang w:val="en-US" w:eastAsia="zh-CN" w:bidi="ar"/>
              </w:rPr>
              <w:t>[1]金轲,王昕.大力发展文化产业的产业政策研究——以电竞产业为例[J].经济研究参考,2017(56):58-64.</w:t>
            </w:r>
          </w:p>
        </w:tc>
      </w:tr>
    </w:tbl>
    <w:p>
      <w:pPr>
        <w:numPr>
          <w:numId w:val="0"/>
        </w:numPr>
        <w:tabs>
          <w:tab w:val="left" w:pos="7627"/>
        </w:tabs>
        <w:rPr>
          <w:rFonts w:hint="eastAsia" w:ascii="Arial" w:hAnsi="Arial" w:eastAsia="宋体" w:cs="Arial"/>
          <w:i w:val="0"/>
          <w:caps w:val="0"/>
          <w:color w:val="333333"/>
          <w:spacing w:val="0"/>
          <w:sz w:val="16"/>
          <w:szCs w:val="16"/>
          <w:shd w:val="clear" w:fill="FFFFFF"/>
          <w:lang w:eastAsia="zh-CN"/>
        </w:rPr>
      </w:pPr>
    </w:p>
    <w:p>
      <w:pPr>
        <w:numPr>
          <w:numId w:val="0"/>
        </w:numPr>
        <w:tabs>
          <w:tab w:val="left" w:pos="7627"/>
        </w:tabs>
        <w:rPr>
          <w:rFonts w:hint="eastAsia" w:ascii="Arial" w:hAnsi="Arial" w:eastAsia="宋体" w:cs="Arial"/>
          <w:i w:val="0"/>
          <w:caps w:val="0"/>
          <w:color w:val="333333"/>
          <w:spacing w:val="0"/>
          <w:sz w:val="16"/>
          <w:szCs w:val="16"/>
          <w:shd w:val="clear" w:fill="FFFFFF"/>
          <w:lang w:eastAsia="zh-CN"/>
        </w:rPr>
      </w:pPr>
    </w:p>
    <w:p>
      <w:pPr>
        <w:numPr>
          <w:numId w:val="0"/>
        </w:numPr>
        <w:tabs>
          <w:tab w:val="left" w:pos="7627"/>
        </w:tabs>
        <w:rPr>
          <w:rFonts w:hint="eastAsia" w:ascii="Arial" w:hAnsi="Arial" w:eastAsia="宋体" w:cs="Arial"/>
          <w:i w:val="0"/>
          <w:caps w:val="0"/>
          <w:color w:val="333333"/>
          <w:spacing w:val="0"/>
          <w:sz w:val="16"/>
          <w:szCs w:val="16"/>
          <w:shd w:val="clear" w:fill="FFFFFF"/>
          <w:lang w:eastAsia="zh-CN"/>
        </w:rPr>
      </w:pPr>
      <w:r>
        <w:rPr>
          <w:rFonts w:hint="eastAsia" w:ascii="Arial" w:hAnsi="Arial" w:eastAsia="宋体" w:cs="Arial"/>
          <w:i w:val="0"/>
          <w:caps w:val="0"/>
          <w:color w:val="333333"/>
          <w:spacing w:val="0"/>
          <w:sz w:val="16"/>
          <w:szCs w:val="16"/>
          <w:shd w:val="clear" w:fill="FFFFFF"/>
          <w:lang w:val="en-US" w:eastAsia="zh-CN"/>
        </w:rPr>
        <w:t>赛事方面</w:t>
      </w:r>
      <w:r>
        <w:rPr>
          <w:rFonts w:hint="eastAsia" w:ascii="Arial" w:hAnsi="Arial" w:eastAsia="宋体" w:cs="Arial"/>
          <w:i w:val="0"/>
          <w:caps w:val="0"/>
          <w:color w:val="333333"/>
          <w:spacing w:val="0"/>
          <w:sz w:val="16"/>
          <w:szCs w:val="16"/>
          <w:shd w:val="clear" w:fill="FFFFFF"/>
          <w:lang w:eastAsia="zh-CN"/>
        </w:rPr>
        <w:drawing>
          <wp:inline distT="0" distB="0" distL="114300" distR="114300">
            <wp:extent cx="4227195" cy="4292600"/>
            <wp:effectExtent l="0" t="0" r="9525" b="5080"/>
            <wp:docPr id="2" name="图片 2" descr="JLTY201803011_14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JLTY201803011_14800"/>
                    <pic:cNvPicPr>
                      <a:picLocks noChangeAspect="1"/>
                    </pic:cNvPicPr>
                  </pic:nvPicPr>
                  <pic:blipFill>
                    <a:blip r:embed="rId5"/>
                    <a:stretch>
                      <a:fillRect/>
                    </a:stretch>
                  </pic:blipFill>
                  <pic:spPr>
                    <a:xfrm>
                      <a:off x="0" y="0"/>
                      <a:ext cx="4227195" cy="429260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C201D"/>
    <w:rsid w:val="02951562"/>
    <w:rsid w:val="05F22CB6"/>
    <w:rsid w:val="09AD316C"/>
    <w:rsid w:val="0F1D77C8"/>
    <w:rsid w:val="1722130B"/>
    <w:rsid w:val="1C771FC9"/>
    <w:rsid w:val="21312004"/>
    <w:rsid w:val="2916109D"/>
    <w:rsid w:val="3071307D"/>
    <w:rsid w:val="339734FC"/>
    <w:rsid w:val="379E518E"/>
    <w:rsid w:val="41A96156"/>
    <w:rsid w:val="460C2853"/>
    <w:rsid w:val="48CC201D"/>
    <w:rsid w:val="616B258C"/>
    <w:rsid w:val="682E182A"/>
    <w:rsid w:val="7150283C"/>
    <w:rsid w:val="7F0B3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2019-04-09T13:19:00Z</dcterms:created>
  <dc:creator>bmj </dc:creator>
  <cp:lastModifiedBy>bmj </cp:lastModifiedBy>
  <dcterms:modified xsi:type="dcterms:W3CDTF">2019-04-22T15:01:14Z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