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Override PartName="/word/theme/themeOverride4.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8"/>
          <w:szCs w:val="28"/>
        </w:rPr>
      </w:pPr>
      <w:r>
        <w:rPr>
          <w:rFonts w:hint="eastAsia" w:ascii="黑体" w:hAnsi="黑体" w:eastAsia="黑体" w:cs="黑体"/>
          <w:sz w:val="28"/>
          <w:szCs w:val="28"/>
          <w:lang w:val="en-US" w:eastAsia="zh-CN"/>
        </w:rPr>
        <w:t>2008—2018年</w:t>
      </w:r>
      <w:r>
        <w:rPr>
          <w:rFonts w:hint="eastAsia" w:ascii="黑体" w:hAnsi="黑体" w:eastAsia="黑体" w:cs="黑体"/>
          <w:sz w:val="28"/>
          <w:szCs w:val="28"/>
        </w:rPr>
        <w:t>中国游戏市场实际销售收入</w:t>
      </w:r>
    </w:p>
    <w:p>
      <w:pPr>
        <w:jc w:val="center"/>
        <w:rPr>
          <w:rFonts w:hint="eastAsia" w:ascii="黑体" w:hAnsi="黑体" w:eastAsia="黑体" w:cs="黑体"/>
          <w:sz w:val="28"/>
          <w:szCs w:val="28"/>
          <w:lang w:val="en-US" w:eastAsia="zh-CN"/>
        </w:rPr>
      </w:pPr>
      <w:r>
        <w:rPr>
          <w:rFonts w:ascii="微软雅黑" w:hAnsi="微软雅黑"/>
        </w:rPr>
        <w:drawing>
          <wp:inline distT="0" distB="0" distL="114300" distR="114300">
            <wp:extent cx="4262120" cy="3342005"/>
            <wp:effectExtent l="4445" t="4445" r="15875" b="63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 中国游戏市场实际销售收入</w:t>
      </w:r>
    </w:p>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数据来源：中国音数协游戏工委（GPC）&amp; CNG中新游戏研究（伽马数据）</w:t>
      </w:r>
    </w:p>
    <w:p>
      <w:pPr>
        <w:jc w:val="center"/>
        <w:rPr>
          <w:rFonts w:hint="eastAsia" w:ascii="宋体" w:hAnsi="宋体" w:eastAsia="宋体" w:cs="宋体"/>
          <w:sz w:val="21"/>
          <w:szCs w:val="21"/>
          <w:lang w:val="en-US" w:eastAsia="zh-CN"/>
        </w:rPr>
      </w:pPr>
    </w:p>
    <w:tbl>
      <w:tblPr>
        <w:tblStyle w:val="4"/>
        <w:tblpPr w:leftFromText="180" w:rightFromText="180" w:vertAnchor="text" w:tblpX="1016" w:tblpY="6"/>
        <w:tblOverlap w:val="never"/>
        <w:tblW w:w="6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00"/>
        <w:gridCol w:w="2196"/>
        <w:gridCol w:w="1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3" w:hRule="atLeast"/>
        </w:trPr>
        <w:tc>
          <w:tcPr>
            <w:tcW w:w="2400"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年份</w:t>
            </w:r>
          </w:p>
        </w:tc>
        <w:tc>
          <w:tcPr>
            <w:tcW w:w="2196"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销售收入（亿元）</w:t>
            </w:r>
          </w:p>
        </w:tc>
        <w:tc>
          <w:tcPr>
            <w:tcW w:w="193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增长率（%）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3" w:hRule="atLeast"/>
        </w:trPr>
        <w:tc>
          <w:tcPr>
            <w:tcW w:w="2400"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2008</w:t>
            </w:r>
          </w:p>
        </w:tc>
        <w:tc>
          <w:tcPr>
            <w:tcW w:w="2196"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185.6</w:t>
            </w:r>
          </w:p>
        </w:tc>
        <w:tc>
          <w:tcPr>
            <w:tcW w:w="193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3" w:hRule="atLeast"/>
        </w:trPr>
        <w:tc>
          <w:tcPr>
            <w:tcW w:w="2400"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2009</w:t>
            </w:r>
          </w:p>
        </w:tc>
        <w:tc>
          <w:tcPr>
            <w:tcW w:w="2196"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262.8</w:t>
            </w:r>
          </w:p>
        </w:tc>
        <w:tc>
          <w:tcPr>
            <w:tcW w:w="193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3" w:hRule="atLeast"/>
        </w:trPr>
        <w:tc>
          <w:tcPr>
            <w:tcW w:w="2400"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2010</w:t>
            </w:r>
          </w:p>
        </w:tc>
        <w:tc>
          <w:tcPr>
            <w:tcW w:w="2196"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333.0</w:t>
            </w:r>
          </w:p>
        </w:tc>
        <w:tc>
          <w:tcPr>
            <w:tcW w:w="193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3" w:hRule="atLeast"/>
        </w:trPr>
        <w:tc>
          <w:tcPr>
            <w:tcW w:w="2400"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2011</w:t>
            </w:r>
          </w:p>
        </w:tc>
        <w:tc>
          <w:tcPr>
            <w:tcW w:w="2196"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446.1</w:t>
            </w:r>
          </w:p>
        </w:tc>
        <w:tc>
          <w:tcPr>
            <w:tcW w:w="193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3" w:hRule="atLeast"/>
        </w:trPr>
        <w:tc>
          <w:tcPr>
            <w:tcW w:w="2400"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2012</w:t>
            </w:r>
          </w:p>
        </w:tc>
        <w:tc>
          <w:tcPr>
            <w:tcW w:w="2196"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602.8</w:t>
            </w:r>
          </w:p>
        </w:tc>
        <w:tc>
          <w:tcPr>
            <w:tcW w:w="193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3" w:hRule="atLeast"/>
        </w:trPr>
        <w:tc>
          <w:tcPr>
            <w:tcW w:w="2400"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2013</w:t>
            </w:r>
          </w:p>
        </w:tc>
        <w:tc>
          <w:tcPr>
            <w:tcW w:w="2196"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831.7</w:t>
            </w:r>
          </w:p>
        </w:tc>
        <w:tc>
          <w:tcPr>
            <w:tcW w:w="193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3" w:hRule="atLeast"/>
        </w:trPr>
        <w:tc>
          <w:tcPr>
            <w:tcW w:w="2400"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2014</w:t>
            </w:r>
          </w:p>
        </w:tc>
        <w:tc>
          <w:tcPr>
            <w:tcW w:w="2196"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1144.8</w:t>
            </w:r>
          </w:p>
        </w:tc>
        <w:tc>
          <w:tcPr>
            <w:tcW w:w="193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3" w:hRule="atLeast"/>
        </w:trPr>
        <w:tc>
          <w:tcPr>
            <w:tcW w:w="2400"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2015</w:t>
            </w:r>
          </w:p>
        </w:tc>
        <w:tc>
          <w:tcPr>
            <w:tcW w:w="2196"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1407.0</w:t>
            </w:r>
          </w:p>
        </w:tc>
        <w:tc>
          <w:tcPr>
            <w:tcW w:w="193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3" w:hRule="atLeast"/>
        </w:trPr>
        <w:tc>
          <w:tcPr>
            <w:tcW w:w="2400"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2016</w:t>
            </w:r>
          </w:p>
        </w:tc>
        <w:tc>
          <w:tcPr>
            <w:tcW w:w="2196"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1655.7</w:t>
            </w:r>
          </w:p>
        </w:tc>
        <w:tc>
          <w:tcPr>
            <w:tcW w:w="193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3" w:hRule="atLeast"/>
        </w:trPr>
        <w:tc>
          <w:tcPr>
            <w:tcW w:w="2400"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2017</w:t>
            </w:r>
          </w:p>
        </w:tc>
        <w:tc>
          <w:tcPr>
            <w:tcW w:w="2196"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2036.1</w:t>
            </w:r>
          </w:p>
        </w:tc>
        <w:tc>
          <w:tcPr>
            <w:tcW w:w="193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3" w:hRule="atLeast"/>
        </w:trPr>
        <w:tc>
          <w:tcPr>
            <w:tcW w:w="2400"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2018</w:t>
            </w:r>
          </w:p>
        </w:tc>
        <w:tc>
          <w:tcPr>
            <w:tcW w:w="2196"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2144.4</w:t>
            </w:r>
          </w:p>
        </w:tc>
        <w:tc>
          <w:tcPr>
            <w:tcW w:w="193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5.3</w:t>
            </w:r>
          </w:p>
        </w:tc>
      </w:tr>
    </w:tbl>
    <w:p>
      <w:pPr>
        <w:jc w:val="center"/>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 多重因素促使移动游戏增长放缓</w:t>
      </w:r>
    </w:p>
    <w:p>
      <w:p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2008至2018年中国移动游戏市场依然保持增长，但近年来增速出现快速下滑，销售收入增长放缓。这主要受用户需求改变、用户获取难度提升、新产品竞争力减弱等因素影响。</w:t>
      </w:r>
    </w:p>
    <w:p>
      <w:pPr>
        <w:numPr>
          <w:ilvl w:val="0"/>
          <w:numId w:val="1"/>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用户需求发生变化。</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方面，在移动互联网人口流量接近饱和的趋势下，移动游戏用户数量增量有限；另一方面，以短视频为主的新型娱乐内容对于用户的注意力争夺日益激烈，移动游戏用户的黏性有所松动，移动游戏用户使用时长在移动互联网总使用时长中占比不断下降。</w:t>
      </w:r>
    </w:p>
    <w:p>
      <w:pPr>
        <w:numPr>
          <w:ilvl w:val="0"/>
          <w:numId w:val="1"/>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产品获取用户难度提升。</w:t>
      </w:r>
    </w:p>
    <w:p>
      <w:pPr>
        <w:numPr>
          <w:ilvl w:val="0"/>
          <w:numId w:val="0"/>
        </w:numPr>
        <w:ind w:leftChars="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从推广角度来看，广告投放价格自上半年大幅上涨后维持在较高水平，传统品类游戏在游戏广告投放市场完成一轮洗牌后价格逐渐企稳，而二线题材品类的投放价格仍在攀升。同时，视频广告逐渐成为主流的广告投放方式，对于企业的资金、制作经验等综合实力要求进一步提升。其次，存量用户固化在少数产品中，用户获取难度不断增加，老产品通过长线运营获取了市场上大部分存量用户。再次，用户的游戏体验需求已经升级，主动选择产品的意愿更加明确，对游戏品质和体验的要求也更严格，反向推动产品进行定制化研发和精细化运营，所需周期和成本大幅增加。</w:t>
      </w:r>
    </w:p>
    <w:p>
      <w:pPr>
        <w:numPr>
          <w:ilvl w:val="0"/>
          <w:numId w:val="1"/>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新产品的竞争力较弱，导致市场收入增长动力不足。</w:t>
      </w:r>
    </w:p>
    <w:p>
      <w:pPr>
        <w:numPr>
          <w:ilvl w:val="0"/>
          <w:numId w:val="0"/>
        </w:numPr>
        <w:ind w:leftChars="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受外部因素影响，不少新游戏上线计划被打断，导致数量大幅减少。同时，少数热门游戏占据了大部分流量份额，市场格局固化加深，存量市场竞争推动游戏产品越来越精品化，提升新产品进入门槛。</w:t>
      </w:r>
    </w:p>
    <w:p>
      <w:pPr>
        <w:numPr>
          <w:ilvl w:val="0"/>
          <w:numId w:val="0"/>
        </w:numPr>
        <w:ind w:leftChars="0" w:firstLine="420" w:firstLineChars="200"/>
        <w:jc w:val="both"/>
        <w:rPr>
          <w:rFonts w:ascii="微软雅黑" w:hAnsi="微软雅黑"/>
          <w:szCs w:val="24"/>
        </w:rPr>
      </w:pPr>
      <w:r>
        <w:rPr>
          <w:rFonts w:hint="eastAsia" w:ascii="微软雅黑" w:hAnsi="微软雅黑"/>
          <w:szCs w:val="24"/>
          <w:lang w:val="en-US" w:eastAsia="zh-CN"/>
        </w:rPr>
        <w:t xml:space="preserve">      </w:t>
      </w:r>
      <w:r>
        <w:rPr>
          <w:rFonts w:ascii="微软雅黑" w:hAnsi="微软雅黑"/>
          <w:szCs w:val="24"/>
        </w:rPr>
        <w:drawing>
          <wp:inline distT="0" distB="0" distL="114300" distR="114300">
            <wp:extent cx="4265295" cy="3199130"/>
            <wp:effectExtent l="4445" t="4445" r="12700" b="1206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autoSpaceDN w:val="0"/>
        <w:ind w:firstLine="0" w:firstLineChars="0"/>
        <w:jc w:val="center"/>
        <w:rPr>
          <w:rFonts w:ascii="微软雅黑" w:hAnsi="微软雅黑"/>
          <w:sz w:val="21"/>
          <w:szCs w:val="24"/>
        </w:rPr>
      </w:pPr>
      <w:r>
        <w:rPr>
          <w:rFonts w:hint="eastAsia" w:ascii="微软雅黑" w:hAnsi="微软雅黑"/>
          <w:sz w:val="21"/>
          <w:szCs w:val="24"/>
        </w:rPr>
        <w:t>图 中国移动游戏市场实际销售收入</w:t>
      </w:r>
    </w:p>
    <w:p>
      <w:pPr>
        <w:autoSpaceDN w:val="0"/>
        <w:ind w:firstLine="720" w:firstLineChars="400"/>
        <w:jc w:val="center"/>
        <w:rPr>
          <w:rFonts w:ascii="微软雅黑" w:hAnsi="微软雅黑"/>
          <w:sz w:val="18"/>
          <w:szCs w:val="18"/>
        </w:rPr>
      </w:pPr>
      <w:r>
        <w:rPr>
          <w:rFonts w:hint="eastAsia" w:ascii="微软雅黑" w:hAnsi="微软雅黑"/>
          <w:sz w:val="18"/>
          <w:szCs w:val="18"/>
        </w:rPr>
        <w:t>数据来源：中国音数协游戏工委（GPC）&amp; C</w:t>
      </w:r>
      <w:r>
        <w:rPr>
          <w:rFonts w:ascii="微软雅黑" w:hAnsi="微软雅黑"/>
          <w:sz w:val="18"/>
          <w:szCs w:val="18"/>
        </w:rPr>
        <w:t>NG</w:t>
      </w:r>
      <w:r>
        <w:rPr>
          <w:rFonts w:hint="eastAsia" w:ascii="微软雅黑" w:hAnsi="微软雅黑"/>
          <w:sz w:val="18"/>
          <w:szCs w:val="18"/>
        </w:rPr>
        <w:t>中新游戏研究（伽马数据）</w:t>
      </w:r>
    </w:p>
    <w:tbl>
      <w:tblPr>
        <w:tblStyle w:val="4"/>
        <w:tblW w:w="6324" w:type="dxa"/>
        <w:jc w:val="center"/>
        <w:tblInd w:w="5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80"/>
        <w:gridCol w:w="2184"/>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2" w:hRule="atLeast"/>
          <w:jc w:val="center"/>
        </w:trPr>
        <w:tc>
          <w:tcPr>
            <w:tcW w:w="228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年份</w:t>
            </w:r>
          </w:p>
        </w:tc>
        <w:tc>
          <w:tcPr>
            <w:tcW w:w="2184"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实际销售（亿元）</w:t>
            </w:r>
          </w:p>
        </w:tc>
        <w:tc>
          <w:tcPr>
            <w:tcW w:w="186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增长率（%）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jc w:val="center"/>
        </w:trPr>
        <w:tc>
          <w:tcPr>
            <w:tcW w:w="228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2008</w:t>
            </w:r>
          </w:p>
        </w:tc>
        <w:tc>
          <w:tcPr>
            <w:tcW w:w="2184"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1.5</w:t>
            </w:r>
          </w:p>
        </w:tc>
        <w:tc>
          <w:tcPr>
            <w:tcW w:w="186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jc w:val="center"/>
        </w:trPr>
        <w:tc>
          <w:tcPr>
            <w:tcW w:w="228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2009</w:t>
            </w:r>
          </w:p>
        </w:tc>
        <w:tc>
          <w:tcPr>
            <w:tcW w:w="2184"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6.4</w:t>
            </w:r>
          </w:p>
        </w:tc>
        <w:tc>
          <w:tcPr>
            <w:tcW w:w="186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326.7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jc w:val="center"/>
        </w:trPr>
        <w:tc>
          <w:tcPr>
            <w:tcW w:w="228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2010</w:t>
            </w:r>
          </w:p>
        </w:tc>
        <w:tc>
          <w:tcPr>
            <w:tcW w:w="2184"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9.1</w:t>
            </w:r>
          </w:p>
        </w:tc>
        <w:tc>
          <w:tcPr>
            <w:tcW w:w="186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jc w:val="center"/>
        </w:trPr>
        <w:tc>
          <w:tcPr>
            <w:tcW w:w="228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2011</w:t>
            </w:r>
          </w:p>
        </w:tc>
        <w:tc>
          <w:tcPr>
            <w:tcW w:w="2184"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17.0</w:t>
            </w:r>
          </w:p>
        </w:tc>
        <w:tc>
          <w:tcPr>
            <w:tcW w:w="186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86.8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jc w:val="center"/>
        </w:trPr>
        <w:tc>
          <w:tcPr>
            <w:tcW w:w="228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2012</w:t>
            </w:r>
          </w:p>
        </w:tc>
        <w:tc>
          <w:tcPr>
            <w:tcW w:w="2184"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32.4</w:t>
            </w:r>
          </w:p>
        </w:tc>
        <w:tc>
          <w:tcPr>
            <w:tcW w:w="186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jc w:val="center"/>
        </w:trPr>
        <w:tc>
          <w:tcPr>
            <w:tcW w:w="228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2013</w:t>
            </w:r>
          </w:p>
        </w:tc>
        <w:tc>
          <w:tcPr>
            <w:tcW w:w="2184"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112.4</w:t>
            </w:r>
          </w:p>
        </w:tc>
        <w:tc>
          <w:tcPr>
            <w:tcW w:w="186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246.9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jc w:val="center"/>
        </w:trPr>
        <w:tc>
          <w:tcPr>
            <w:tcW w:w="228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2014</w:t>
            </w:r>
          </w:p>
        </w:tc>
        <w:tc>
          <w:tcPr>
            <w:tcW w:w="2184"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274.9</w:t>
            </w:r>
          </w:p>
        </w:tc>
        <w:tc>
          <w:tcPr>
            <w:tcW w:w="186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jc w:val="center"/>
        </w:trPr>
        <w:tc>
          <w:tcPr>
            <w:tcW w:w="228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2015</w:t>
            </w:r>
          </w:p>
        </w:tc>
        <w:tc>
          <w:tcPr>
            <w:tcW w:w="2184"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514.6</w:t>
            </w:r>
          </w:p>
        </w:tc>
        <w:tc>
          <w:tcPr>
            <w:tcW w:w="186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jc w:val="center"/>
        </w:trPr>
        <w:tc>
          <w:tcPr>
            <w:tcW w:w="228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2016</w:t>
            </w:r>
          </w:p>
        </w:tc>
        <w:tc>
          <w:tcPr>
            <w:tcW w:w="2184"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819.2</w:t>
            </w:r>
          </w:p>
        </w:tc>
        <w:tc>
          <w:tcPr>
            <w:tcW w:w="186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jc w:val="center"/>
        </w:trPr>
        <w:tc>
          <w:tcPr>
            <w:tcW w:w="228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2017</w:t>
            </w:r>
          </w:p>
        </w:tc>
        <w:tc>
          <w:tcPr>
            <w:tcW w:w="2184"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116.2</w:t>
            </w:r>
          </w:p>
        </w:tc>
        <w:tc>
          <w:tcPr>
            <w:tcW w:w="186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7" w:hRule="atLeast"/>
          <w:jc w:val="center"/>
        </w:trPr>
        <w:tc>
          <w:tcPr>
            <w:tcW w:w="228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2018</w:t>
            </w:r>
          </w:p>
        </w:tc>
        <w:tc>
          <w:tcPr>
            <w:tcW w:w="2184"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1339.6</w:t>
            </w:r>
          </w:p>
        </w:tc>
        <w:tc>
          <w:tcPr>
            <w:tcW w:w="1860" w:type="dxa"/>
            <w:vAlign w:val="top"/>
          </w:tcPr>
          <w:p>
            <w:pPr>
              <w:numPr>
                <w:ilvl w:val="0"/>
                <w:numId w:val="0"/>
              </w:numPr>
              <w:spacing w:line="240" w:lineRule="auto"/>
              <w:jc w:val="center"/>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15.4</w:t>
            </w:r>
          </w:p>
        </w:tc>
      </w:tr>
    </w:tbl>
    <w:p>
      <w:pPr>
        <w:numPr>
          <w:ilvl w:val="0"/>
          <w:numId w:val="0"/>
        </w:num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二 精品大作支撑客户端游戏市场发展</w:t>
      </w:r>
    </w:p>
    <w:p>
      <w:p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近年来，客户端游戏更加强调画面精致、玩法硬核，精品化趋势加强，质量成为竞争的核心。市场产品呈现“少而精”的特征，精品支撑客户端游戏发展。</w:t>
      </w:r>
    </w:p>
    <w:p>
      <w:pPr>
        <w:numPr>
          <w:ilvl w:val="0"/>
          <w:numId w:val="2"/>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客户端游戏市场新增用户减少，存量用户是保证客户端游戏市场发展的关键。</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客户端游戏市场用户基础稳定，产品由于硬件方面优势更具舒适性和稳定性，市场热度保持较好。老产品凭借高用户忠诚度，市场表现依然较为稳定。同时，部分企业推出符合核心用户体验的新产品，推动客户端游戏市场发展。</w:t>
      </w:r>
    </w:p>
    <w:p>
      <w:pPr>
        <w:numPr>
          <w:ilvl w:val="0"/>
          <w:numId w:val="2"/>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客户端游戏企业更加注重产品品牌效应，关注长期持续的收益而非短期盈利，推动精品的持续产生。</w:t>
      </w:r>
    </w:p>
    <w:p>
      <w:pPr>
        <w:numPr>
          <w:ilvl w:val="0"/>
          <w:numId w:val="0"/>
        </w:numPr>
        <w:ind w:leftChars="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方面，客户端游戏产品受到市场的培育后，品质不断提高，愈加强调画面精致度、玩法丰富性，运营更加注重长线。游戏企业通过优化数值体系、玩法创新、不过度倚重“氪金”模式等方式维系核心用户的忠诚度，树立品牌效应。另一方面，借助客户端游戏IP（知识产权）的文化价值和粉丝效应，游戏企业将其改编为移动游戏、影视、动漫等内容形态或者对产品进行迭代，延长IP（知识产权）的生命力，从而能够获取更大的价值。</w:t>
      </w:r>
    </w:p>
    <w:p>
      <w:pPr>
        <w:numPr>
          <w:ilvl w:val="0"/>
          <w:numId w:val="2"/>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市场资源与用户资源向精品大作倾斜。</w:t>
      </w:r>
    </w:p>
    <w:p>
      <w:pPr>
        <w:numPr>
          <w:ilvl w:val="0"/>
          <w:numId w:val="0"/>
        </w:numPr>
        <w:ind w:leftChars="0" w:firstLine="420" w:firstLineChars="200"/>
        <w:jc w:val="both"/>
        <w:rPr>
          <w:rFonts w:ascii="微软雅黑" w:hAnsi="微软雅黑"/>
          <w:szCs w:val="24"/>
        </w:rPr>
      </w:pPr>
      <w:r>
        <w:rPr>
          <w:rFonts w:hint="eastAsia" w:ascii="宋体" w:hAnsi="宋体" w:eastAsia="宋体" w:cs="宋体"/>
          <w:sz w:val="21"/>
          <w:szCs w:val="21"/>
          <w:lang w:val="en-US" w:eastAsia="zh-CN"/>
        </w:rPr>
        <w:t xml:space="preserve">客户端游戏市场的“二八效应”明显，少数几家企业代理和研发的游戏牢牢占据市场主要地位，存量用户被长期吸附在少数产品中。同时，资金、技术和人才资源纷纷向少数企业集中，使得这些企业能够拥有更高的研发投入和更长的产品制作周期，保证新产品品质。                      </w:t>
      </w:r>
      <w:r>
        <w:rPr>
          <w:rFonts w:ascii="微软雅黑" w:hAnsi="微软雅黑"/>
          <w:szCs w:val="24"/>
        </w:rPr>
        <w:drawing>
          <wp:inline distT="0" distB="0" distL="114300" distR="114300">
            <wp:extent cx="5098415" cy="3281045"/>
            <wp:effectExtent l="4445" t="4445" r="17780" b="635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autoSpaceDN w:val="0"/>
        <w:ind w:firstLine="0" w:firstLineChars="0"/>
        <w:jc w:val="center"/>
        <w:rPr>
          <w:rFonts w:ascii="微软雅黑" w:hAnsi="微软雅黑"/>
          <w:sz w:val="21"/>
          <w:szCs w:val="24"/>
        </w:rPr>
      </w:pPr>
      <w:r>
        <w:rPr>
          <w:rFonts w:hint="eastAsia" w:ascii="微软雅黑" w:hAnsi="微软雅黑"/>
          <w:sz w:val="21"/>
          <w:szCs w:val="24"/>
        </w:rPr>
        <w:t>图 中国客户端游戏市场实际销售收入</w:t>
      </w:r>
    </w:p>
    <w:p>
      <w:pPr>
        <w:autoSpaceDN w:val="0"/>
        <w:ind w:firstLine="360" w:firstLineChars="200"/>
        <w:jc w:val="center"/>
        <w:rPr>
          <w:rFonts w:ascii="微软雅黑" w:hAnsi="微软雅黑"/>
          <w:sz w:val="18"/>
          <w:szCs w:val="18"/>
        </w:rPr>
      </w:pPr>
      <w:r>
        <w:rPr>
          <w:rFonts w:hint="eastAsia" w:ascii="微软雅黑" w:hAnsi="微软雅黑"/>
          <w:sz w:val="18"/>
          <w:szCs w:val="18"/>
        </w:rPr>
        <w:t>数据来源：中国音数协游戏工委（GPC）&amp; C</w:t>
      </w:r>
      <w:r>
        <w:rPr>
          <w:rFonts w:ascii="微软雅黑" w:hAnsi="微软雅黑"/>
          <w:sz w:val="18"/>
          <w:szCs w:val="18"/>
        </w:rPr>
        <w:t>NG</w:t>
      </w:r>
      <w:r>
        <w:rPr>
          <w:rFonts w:hint="eastAsia" w:ascii="微软雅黑" w:hAnsi="微软雅黑"/>
          <w:sz w:val="18"/>
          <w:szCs w:val="18"/>
        </w:rPr>
        <w:t>中新游戏研究（伽马数据）</w:t>
      </w:r>
    </w:p>
    <w:tbl>
      <w:tblPr>
        <w:tblStyle w:val="4"/>
        <w:tblW w:w="6324" w:type="dxa"/>
        <w:tblInd w:w="5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0"/>
        <w:gridCol w:w="2184"/>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年份</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实际销售（亿元）</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增长率（%）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2008</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167.1</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2009</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233.2</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2010</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271.6</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2011</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366.9</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35.1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2012</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451.2</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2013</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536.6</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2014</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608.9</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2015</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611.6</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2016</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582.5</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2017</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648.6</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2018</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619.6</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-4.5</w:t>
            </w:r>
          </w:p>
        </w:tc>
      </w:tr>
    </w:tbl>
    <w:p>
      <w:pPr>
        <w:jc w:val="both"/>
        <w:rPr>
          <w:rFonts w:hint="eastAsia" w:ascii="微软雅黑" w:hAnsi="微软雅黑"/>
          <w:szCs w:val="24"/>
          <w:lang w:val="en-US" w:eastAsia="zh-CN"/>
        </w:rPr>
      </w:pPr>
    </w:p>
    <w:p>
      <w:pPr>
        <w:jc w:val="both"/>
        <w:rPr>
          <w:rFonts w:hint="eastAsia" w:ascii="宋体" w:hAnsi="宋体" w:eastAsia="宋体" w:cs="宋体"/>
          <w:sz w:val="21"/>
          <w:szCs w:val="21"/>
          <w:lang w:val="en-US" w:eastAsia="zh-CN"/>
        </w:rPr>
      </w:pP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 网页游戏市场增长乏力</w:t>
      </w:r>
    </w:p>
    <w:p>
      <w:p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网页游戏市场在用户持续流失和广告投放成本上升的压力下延续下滑态势，市场增长乏力，市场销售收入连续三年出现负增长。</w:t>
      </w:r>
    </w:p>
    <w:p>
      <w:pPr>
        <w:numPr>
          <w:ilvl w:val="0"/>
          <w:numId w:val="3"/>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用户偏好发生转移，用户获取难。</w:t>
      </w:r>
    </w:p>
    <w:p>
      <w:pPr>
        <w:numPr>
          <w:ilvl w:val="0"/>
          <w:numId w:val="0"/>
        </w:num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互联网用户整体面临增长瓶颈和向移动端迁移的态势，移动互联网用户日均上网时长近5小时，高于整体互联网用户的日均4小时。移动游戏市场高度活跃不断分食网页游戏市场的人口红利，加大用户获取难度。同时，网页游戏受限于网页端载体和技术性能，在游戏的便捷体验、画面创新、社交互动等方面均面临挑战。</w:t>
      </w:r>
    </w:p>
    <w:p>
      <w:pPr>
        <w:numPr>
          <w:ilvl w:val="0"/>
          <w:numId w:val="3"/>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网页游戏精品稀缺、新产品不断减少，加速用户流失。</w:t>
      </w:r>
    </w:p>
    <w:p>
      <w:pPr>
        <w:numPr>
          <w:ilvl w:val="0"/>
          <w:numId w:val="0"/>
        </w:numPr>
        <w:ind w:leftChars="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方面，网页游戏同质化现象依然普遍存在，品质和玩法缺乏创新，无法满足用户需求；另一方面，移动游戏以及小游戏等细分市场的高成长前景吸引大批中小型网页游戏研发团队转型离开，网页游戏新产品数量不断减少，进一步削弱市场的吸引力。</w:t>
      </w:r>
    </w:p>
    <w:p>
      <w:pPr>
        <w:numPr>
          <w:ilvl w:val="0"/>
          <w:numId w:val="3"/>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网页游戏企业的持续盈利能力减弱。</w:t>
      </w:r>
    </w:p>
    <w:p>
      <w:pPr>
        <w:numPr>
          <w:ilvl w:val="0"/>
          <w:numId w:val="0"/>
        </w:numPr>
        <w:ind w:leftChars="0"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方面，网页游戏的营销方式仍然依赖于广告投放，而广告投放成本持续上升不断压缩产品的利润空间；另一方面，受到同质化产品反复清洗后，用户的付费意愿大幅下降，缩短了产品的生命周期，大多数产品收入出现快速下滑的现象。</w:t>
      </w:r>
    </w:p>
    <w:p>
      <w:p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前，针对这一市场状况，网页游戏企业不断加强精品化，甚至通过改编客户端游戏IP（知识产权）为网页游戏市场提供生机。在成熟的技术、高质量研发和运营体系资源的支持下，网页游戏借助客户端游戏IP（知识产权）积累的流量，通过打磨游戏质量和市场联动提升产品的关注度和用户体验。例如，腾讯自研的由客户端游戏IP（知识产权）改编而成的《御龙在天WEB》和《逆战页游》等网页游戏，专注于渲染画质、更迭玩法和创意。</w:t>
      </w:r>
    </w:p>
    <w:p>
      <w:pPr>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营销方面，网页游戏企业越来越注重精细化运营，延长游戏的生命周期。网页游戏长期以来以“洗量”为主要手段的盈利方式不断削弱降低用户的好感度，是导致用户流失的主因。通过精细化运营不断优化产品和用户需求之间的契合度，在延长游戏的生命周期、提升用户的游戏体验和付费意愿的同时，还有利于营造公平、健康的游戏环境，维持网页游戏市场长期稳定发展。</w:t>
      </w:r>
    </w:p>
    <w:p>
      <w:pPr>
        <w:jc w:val="both"/>
        <w:rPr>
          <w:rFonts w:ascii="微软雅黑" w:hAnsi="微软雅黑"/>
          <w:szCs w:val="24"/>
        </w:rPr>
      </w:pPr>
      <w:r>
        <w:rPr>
          <w:rFonts w:hint="eastAsia" w:ascii="微软雅黑" w:hAnsi="微软雅黑"/>
          <w:szCs w:val="24"/>
          <w:lang w:val="en-US" w:eastAsia="zh-CN"/>
        </w:rPr>
        <w:t xml:space="preserve">        </w:t>
      </w:r>
      <w:r>
        <w:rPr>
          <w:rFonts w:ascii="微软雅黑" w:hAnsi="微软雅黑"/>
          <w:szCs w:val="24"/>
        </w:rPr>
        <w:drawing>
          <wp:inline distT="0" distB="0" distL="114300" distR="114300">
            <wp:extent cx="4259580" cy="3274060"/>
            <wp:effectExtent l="4445" t="4445" r="18415" b="1333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jc w:val="center"/>
        <w:rPr>
          <w:rFonts w:hint="eastAsia" w:ascii="微软雅黑" w:hAnsi="微软雅黑"/>
          <w:szCs w:val="24"/>
          <w:lang w:val="en-US" w:eastAsia="zh-CN"/>
        </w:rPr>
      </w:pPr>
      <w:r>
        <w:rPr>
          <w:rFonts w:hint="eastAsia" w:ascii="微软雅黑" w:hAnsi="微软雅黑"/>
          <w:szCs w:val="24"/>
          <w:lang w:val="en-US" w:eastAsia="zh-CN"/>
        </w:rPr>
        <w:t>图 中国网页游戏市场实际销售收入</w:t>
      </w:r>
    </w:p>
    <w:p>
      <w:pPr>
        <w:jc w:val="center"/>
        <w:rPr>
          <w:rFonts w:hint="eastAsia" w:ascii="黑体" w:hAnsi="黑体" w:eastAsia="黑体" w:cs="黑体"/>
          <w:sz w:val="28"/>
          <w:szCs w:val="28"/>
          <w:lang w:val="en-US" w:eastAsia="zh-CN"/>
        </w:rPr>
      </w:pPr>
      <w:r>
        <w:rPr>
          <w:rFonts w:hint="eastAsia" w:ascii="微软雅黑" w:hAnsi="微软雅黑"/>
          <w:szCs w:val="24"/>
          <w:lang w:val="en-US" w:eastAsia="zh-CN"/>
        </w:rPr>
        <w:t>数据来源：中国音数协游戏工委（GPC）&amp; CNG中新游戏研究（伽马数据）</w:t>
      </w:r>
    </w:p>
    <w:tbl>
      <w:tblPr>
        <w:tblStyle w:val="4"/>
        <w:tblW w:w="6324" w:type="dxa"/>
        <w:tblInd w:w="5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0"/>
        <w:gridCol w:w="2184"/>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年份</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实际销售（亿元）</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增长率（%）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2008</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4.5</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2009</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14.0</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2010</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41.8</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198.9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2011</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55.4</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2012</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81.1</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2013</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127.7</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57.4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2014</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202.7</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58.5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2015</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219.6</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2016</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187.1</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2017</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156.0</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28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2018</w:t>
            </w:r>
          </w:p>
        </w:tc>
        <w:tc>
          <w:tcPr>
            <w:tcW w:w="2184"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126.5</w:t>
            </w:r>
          </w:p>
        </w:tc>
        <w:tc>
          <w:tcPr>
            <w:tcW w:w="1860" w:type="dxa"/>
          </w:tcPr>
          <w:p>
            <w:pPr>
              <w:numPr>
                <w:ilvl w:val="0"/>
                <w:numId w:val="0"/>
              </w:numPr>
              <w:jc w:val="both"/>
              <w:rPr>
                <w:rFonts w:hint="default" w:ascii="微软雅黑" w:hAnsi="微软雅黑"/>
                <w:szCs w:val="24"/>
                <w:vertAlign w:val="baseline"/>
                <w:lang w:val="en-US" w:eastAsia="zh-CN"/>
              </w:rPr>
            </w:pPr>
            <w:r>
              <w:rPr>
                <w:rFonts w:hint="eastAsia" w:ascii="微软雅黑" w:hAnsi="微软雅黑"/>
                <w:szCs w:val="24"/>
                <w:vertAlign w:val="baseline"/>
                <w:lang w:val="en-US" w:eastAsia="zh-CN"/>
              </w:rPr>
              <w:t>-18.9</w:t>
            </w:r>
          </w:p>
        </w:tc>
      </w:tr>
    </w:tbl>
    <w:p>
      <w:pPr>
        <w:jc w:val="center"/>
        <w:rPr>
          <w:rFonts w:hint="eastAsia" w:ascii="黑体" w:hAnsi="黑体" w:eastAsia="黑体" w:cs="黑体"/>
          <w:sz w:val="28"/>
          <w:szCs w:val="28"/>
          <w:lang w:val="en-US" w:eastAsia="zh-CN"/>
        </w:rPr>
      </w:pPr>
    </w:p>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2008-2018年中国电子竞技行业</w:t>
      </w:r>
    </w:p>
    <w:p>
      <w:pPr>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前来看，中国电子竞技市场收入主要包括游戏收入、直播收入、电子竞技赛事的相关收入以及其他收入。其中，电子竞技游戏收入占据主要地位，游戏直播以及赛事带来的收入占比较低。随着电子竞技行业的成熟，以上海地区为代表，未来电子赛事带来的相关收入将会提高，其价值将开始展现。</w:t>
      </w:r>
    </w:p>
    <w:p>
      <w:pPr>
        <w:numPr>
          <w:ilvl w:val="0"/>
          <w:numId w:val="4"/>
        </w:numPr>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电子竞技赛事影响力媲美传统体育。</w:t>
      </w:r>
    </w:p>
    <w:p>
      <w:pPr>
        <w:numPr>
          <w:ilvl w:val="0"/>
          <w:numId w:val="0"/>
        </w:numPr>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比传统的体育赛事，电子竞技赛事的收入在电子竞技市场收入中所占比例偏低，依然存在增长空间。电子竞技赛事拥有庞大的粉丝群体，且用户活跃度高，部分电子竞技游戏中的单项赛事影响力已经能够赶超传统体育赛事。以2018年英雄联盟全球总决赛为例，该赛事在社交媒体表现、视频播放情况、观众规模三方面的表现均接近或者比肩美国职业篮球联赛。影响力是赛事商业价值的基础，电子竞技赛事影响力媲美传统体育赛事，有利于其未来的商业化，带动企业积极布局，并以电子竞技为重点，同时通过拓展内容品类、线下娱乐来构建数字娱乐平台，从而以更深度的方式满足用户广泛的娱乐需求，并提高用户黏性和产品活力。以创梦天地为例，其以新型线下娱乐综合体好时光影游社为依托，整合赛事、电子竞技关键意见领袖指导服务、电子竞技设备、直播、战队、电子竞技游戏等资源，建立了一个全民电子竞技平台。</w:t>
      </w:r>
    </w:p>
    <w:p>
      <w:pPr>
        <w:numPr>
          <w:ilvl w:val="0"/>
          <w:numId w:val="4"/>
        </w:numPr>
        <w:ind w:left="0" w:leftChars="0"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价值展现需要借助于经济、人口、地理、用户、交通等优势。</w:t>
      </w:r>
    </w:p>
    <w:p>
      <w:pPr>
        <w:numPr>
          <w:ilvl w:val="0"/>
          <w:numId w:val="0"/>
        </w:numPr>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上海为例，上海以建设“电竞之都”为目标，拥有电子竞技赛事举办的基础，将率先体现价值。其一，上海在国内生产总值（GDP）、人口规模方面常年领先，得益于交通便利等因素，上海年接待旅游者超过3亿人次，GDP、人口、旅游人数将为赛事的用户规模、付费用户数量提供用户基础。同时，上海文化产业新成立基金达到数百亿元规模，电子竞技作为文化产业的重要组成部分也明确在多只基金的重点投资范围内，为电子竞技赛事举办提供财力、人力和物力基础。其二，上海具有丰富的电子竞技赛事举办经验，有超过四成的赛事在上海举办，以巨人网络旗下的《球球大作战》为代表的一批移动游戏，致力于构建绿色、健康的电子竞技价值观，也已经取得了突出的成果。其三，上海举办的电子竞技赛事受关注度高，在媒体报道数量前10的赛事中，上海举办或参与的赛事占六成。其四，上海企业也有较高的赛事举办意愿，在所统计的赛事中，超过四分之一的举办方来自上海。其五，江浙沪地区历来是游戏用户的主要聚集地，其用户约占中国游戏用户的两成。其六，上海支持建设或改建可承办国际顶级电子竞技赛事的专业场馆有1至2个，东方明珠发布了电子竞技相关战略，将整合旗下包括电视台等在内的诸多资源，上述举措将直接推动电子竞技比赛、交易、直播、培训的发展。</w:t>
      </w:r>
    </w:p>
    <w:p>
      <w:pPr>
        <w:numPr>
          <w:ilvl w:val="0"/>
          <w:numId w:val="4"/>
        </w:numPr>
        <w:ind w:left="0" w:leftChars="0"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电子竞技赛事商业化进程将加速发展。</w:t>
      </w:r>
    </w:p>
    <w:p>
      <w:pPr>
        <w:numPr>
          <w:ilvl w:val="0"/>
          <w:numId w:val="0"/>
        </w:numPr>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一，在电子竞技赛事商业化的过程中，赛事转播是其中的重要一环。目前，电子竞技赛事发展仍然处于投入期，赛事能够直接带来的收入较小。在条件具备的情况下，未来有望快速增长。出售转播权是当前电子竞技赛事的一个重要变现方式，这种方式不仅能够直接为电子竞技赛事创造收入，还能进一步提升赛事影响力，触及更多用户。其二，企业赞助是电子竞技赛事创造收入的另一个手段。近两年的电子竞技赛事赞助商分布状况显示，来自快消品、汽车、手机等传统领域的赞助商占比已经高于来自硬件外设等领域的赞助商。赞助商的变化显示了电子竞技赛事的商业价值正在逐渐得到认可，随着电子竞技赛事发展日益成熟，未来，这种认可将继续增强，电子竞技赛事赞助商收入也有望进一步提升。其三，电子竞技还有可能打破传统“高端用户电子竞技模式”壁垒,构建起一个以大众电子竞技用户为中心的社群经济新电子竞技生态。例如盛天网络的“战吧电子竞技”模式，根据其承办NEST（全国电子竞技大赛）、腾讯LNL（全国网吧冠军联赛）之后的数据，战吧电子竞技赛事体系正快速发展，目前已覆盖近2万家网吧，超300万用户。</w:t>
      </w:r>
    </w:p>
    <w:p>
      <w:pPr>
        <w:numPr>
          <w:ilvl w:val="0"/>
          <w:numId w:val="0"/>
        </w:numPr>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总之，电子竞技通过加快赛事城市化进程、产业地方化、多元化、内容与商业融合发展等方式，其赛事价值将逐渐得到更充分的展现。</w:t>
      </w:r>
    </w:p>
    <w:p>
      <w:pPr>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4989195" cy="3215005"/>
            <wp:effectExtent l="4445" t="4445" r="5080" b="1143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图：中国电子竞技市场规模</w:t>
      </w:r>
    </w:p>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数据来源：艾瑞咨询（iresearch）&amp;博思数据研究中心（BOSI）</w:t>
      </w:r>
    </w:p>
    <w:p>
      <w:pPr>
        <w:jc w:val="center"/>
        <w:rPr>
          <w:rFonts w:hint="eastAsia" w:ascii="宋体" w:hAnsi="宋体" w:eastAsia="宋体" w:cs="宋体"/>
          <w:sz w:val="21"/>
          <w:szCs w:val="21"/>
          <w:lang w:val="en-US" w:eastAsia="zh-CN"/>
        </w:rPr>
      </w:pPr>
    </w:p>
    <w:tbl>
      <w:tblPr>
        <w:tblStyle w:val="4"/>
        <w:tblpPr w:leftFromText="180" w:rightFromText="180" w:vertAnchor="text" w:tblpX="536" w:tblpY="427"/>
        <w:tblOverlap w:val="never"/>
        <w:tblW w:w="5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88"/>
        <w:gridCol w:w="2268"/>
        <w:gridCol w:w="1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5" w:hRule="atLeast"/>
        </w:trPr>
        <w:tc>
          <w:tcPr>
            <w:tcW w:w="178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年份</w:t>
            </w:r>
          </w:p>
        </w:tc>
        <w:tc>
          <w:tcPr>
            <w:tcW w:w="226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市场规模（亿元）</w:t>
            </w:r>
          </w:p>
        </w:tc>
        <w:tc>
          <w:tcPr>
            <w:tcW w:w="181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增长率（%）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5" w:hRule="atLeast"/>
        </w:trPr>
        <w:tc>
          <w:tcPr>
            <w:tcW w:w="178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2009</w:t>
            </w:r>
          </w:p>
        </w:tc>
        <w:tc>
          <w:tcPr>
            <w:tcW w:w="226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24.0</w:t>
            </w:r>
          </w:p>
        </w:tc>
        <w:tc>
          <w:tcPr>
            <w:tcW w:w="1812" w:type="dxa"/>
          </w:tcPr>
          <w:p>
            <w:pPr>
              <w:jc w:val="center"/>
              <w:rPr>
                <w:rFonts w:hint="default"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5" w:hRule="atLeast"/>
        </w:trPr>
        <w:tc>
          <w:tcPr>
            <w:tcW w:w="178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2010</w:t>
            </w:r>
          </w:p>
        </w:tc>
        <w:tc>
          <w:tcPr>
            <w:tcW w:w="226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44.1</w:t>
            </w:r>
          </w:p>
        </w:tc>
        <w:tc>
          <w:tcPr>
            <w:tcW w:w="1812" w:type="dxa"/>
          </w:tcPr>
          <w:p>
            <w:pPr>
              <w:ind w:firstLine="630" w:firstLineChars="300"/>
              <w:jc w:val="both"/>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5" w:hRule="atLeast"/>
        </w:trPr>
        <w:tc>
          <w:tcPr>
            <w:tcW w:w="178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2011</w:t>
            </w:r>
          </w:p>
        </w:tc>
        <w:tc>
          <w:tcPr>
            <w:tcW w:w="226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85.0</w:t>
            </w:r>
          </w:p>
        </w:tc>
        <w:tc>
          <w:tcPr>
            <w:tcW w:w="181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5" w:hRule="atLeast"/>
        </w:trPr>
        <w:tc>
          <w:tcPr>
            <w:tcW w:w="178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2012</w:t>
            </w:r>
          </w:p>
        </w:tc>
        <w:tc>
          <w:tcPr>
            <w:tcW w:w="226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131.3</w:t>
            </w:r>
          </w:p>
        </w:tc>
        <w:tc>
          <w:tcPr>
            <w:tcW w:w="181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5" w:hRule="atLeast"/>
        </w:trPr>
        <w:tc>
          <w:tcPr>
            <w:tcW w:w="178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2013</w:t>
            </w:r>
          </w:p>
        </w:tc>
        <w:tc>
          <w:tcPr>
            <w:tcW w:w="226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174.8</w:t>
            </w:r>
          </w:p>
        </w:tc>
        <w:tc>
          <w:tcPr>
            <w:tcW w:w="181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5" w:hRule="atLeast"/>
        </w:trPr>
        <w:tc>
          <w:tcPr>
            <w:tcW w:w="178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2014</w:t>
            </w:r>
          </w:p>
        </w:tc>
        <w:tc>
          <w:tcPr>
            <w:tcW w:w="226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226.3</w:t>
            </w:r>
          </w:p>
        </w:tc>
        <w:tc>
          <w:tcPr>
            <w:tcW w:w="181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5" w:hRule="atLeast"/>
        </w:trPr>
        <w:tc>
          <w:tcPr>
            <w:tcW w:w="178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2015</w:t>
            </w:r>
          </w:p>
        </w:tc>
        <w:tc>
          <w:tcPr>
            <w:tcW w:w="226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269.1</w:t>
            </w:r>
          </w:p>
        </w:tc>
        <w:tc>
          <w:tcPr>
            <w:tcW w:w="181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5" w:hRule="atLeast"/>
        </w:trPr>
        <w:tc>
          <w:tcPr>
            <w:tcW w:w="178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2016</w:t>
            </w:r>
          </w:p>
        </w:tc>
        <w:tc>
          <w:tcPr>
            <w:tcW w:w="226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429.8</w:t>
            </w:r>
          </w:p>
        </w:tc>
        <w:tc>
          <w:tcPr>
            <w:tcW w:w="181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5" w:hRule="atLeast"/>
        </w:trPr>
        <w:tc>
          <w:tcPr>
            <w:tcW w:w="178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2017</w:t>
            </w:r>
          </w:p>
        </w:tc>
        <w:tc>
          <w:tcPr>
            <w:tcW w:w="226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706.1</w:t>
            </w:r>
          </w:p>
        </w:tc>
        <w:tc>
          <w:tcPr>
            <w:tcW w:w="181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5" w:hRule="atLeast"/>
        </w:trPr>
        <w:tc>
          <w:tcPr>
            <w:tcW w:w="178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2018</w:t>
            </w:r>
          </w:p>
        </w:tc>
        <w:tc>
          <w:tcPr>
            <w:tcW w:w="2268"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940.5</w:t>
            </w:r>
          </w:p>
        </w:tc>
        <w:tc>
          <w:tcPr>
            <w:tcW w:w="1812"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33.2</w:t>
            </w:r>
          </w:p>
        </w:tc>
      </w:tr>
    </w:tbl>
    <w:p>
      <w:pPr>
        <w:jc w:val="center"/>
        <w:rPr>
          <w:rFonts w:hint="eastAsia" w:ascii="宋体" w:hAnsi="宋体" w:eastAsia="宋体" w:cs="宋体"/>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57F486"/>
    <w:multiLevelType w:val="singleLevel"/>
    <w:tmpl w:val="9357F486"/>
    <w:lvl w:ilvl="0" w:tentative="0">
      <w:start w:val="1"/>
      <w:numFmt w:val="chineseCounting"/>
      <w:suff w:val="nothing"/>
      <w:lvlText w:val="（%1）"/>
      <w:lvlJc w:val="left"/>
      <w:rPr>
        <w:rFonts w:hint="eastAsia"/>
      </w:rPr>
    </w:lvl>
  </w:abstractNum>
  <w:abstractNum w:abstractNumId="1">
    <w:nsid w:val="B786761A"/>
    <w:multiLevelType w:val="singleLevel"/>
    <w:tmpl w:val="B786761A"/>
    <w:lvl w:ilvl="0" w:tentative="0">
      <w:start w:val="1"/>
      <w:numFmt w:val="chineseCounting"/>
      <w:suff w:val="nothing"/>
      <w:lvlText w:val="（%1）"/>
      <w:lvlJc w:val="left"/>
      <w:rPr>
        <w:rFonts w:hint="eastAsia"/>
      </w:rPr>
    </w:lvl>
  </w:abstractNum>
  <w:abstractNum w:abstractNumId="2">
    <w:nsid w:val="315EECB0"/>
    <w:multiLevelType w:val="singleLevel"/>
    <w:tmpl w:val="315EECB0"/>
    <w:lvl w:ilvl="0" w:tentative="0">
      <w:start w:val="1"/>
      <w:numFmt w:val="chineseCounting"/>
      <w:suff w:val="nothing"/>
      <w:lvlText w:val="（%1）"/>
      <w:lvlJc w:val="left"/>
      <w:rPr>
        <w:rFonts w:hint="eastAsia"/>
      </w:rPr>
    </w:lvl>
  </w:abstractNum>
  <w:abstractNum w:abstractNumId="3">
    <w:nsid w:val="3C07E717"/>
    <w:multiLevelType w:val="singleLevel"/>
    <w:tmpl w:val="3C07E717"/>
    <w:lvl w:ilvl="0" w:tentative="0">
      <w:start w:val="1"/>
      <w:numFmt w:val="chineseCounting"/>
      <w:suff w:val="nothing"/>
      <w:lvlText w:val="第%1，"/>
      <w:lvlJc w:val="left"/>
      <w:rPr>
        <w:rFonts w:hint="eastAsi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57808"/>
    <w:rsid w:val="54CF3D9B"/>
    <w:rsid w:val="56A06820"/>
    <w:rsid w:val="5F057808"/>
    <w:rsid w:val="61361E60"/>
    <w:rsid w:val="6DA06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2.xml"/><Relationship Id="rId1" Type="http://schemas.openxmlformats.org/officeDocument/2006/relationships/oleObject" Target="file:///C:\Users\Robernick\Desktop\&#8251;2018&#24180;&#20840;&#24180;&#28216;&#25103;&#25253;&#21578;11.14A.xlsx" TargetMode="External"/></Relationships>
</file>

<file path=word/charts/_rels/chart2.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oleObject" Target="file:///C:\Users\Robernick\Desktop\&#8251;2018&#24180;&#20840;&#24180;&#28216;&#25103;&#25253;&#21578;11.14A.xlsx" TargetMode="External"/></Relationships>
</file>

<file path=word/charts/_rels/chart3.xml.rels><?xml version="1.0" encoding="UTF-8" standalone="yes"?>
<Relationships xmlns="http://schemas.openxmlformats.org/package/2006/relationships"><Relationship Id="rId2" Type="http://schemas.openxmlformats.org/officeDocument/2006/relationships/themeOverride" Target="../theme/themeOverride4.xml"/><Relationship Id="rId1" Type="http://schemas.openxmlformats.org/officeDocument/2006/relationships/oleObject" Target="file:///C:\Users\Robernick\Desktop\&#8251;2018&#24180;&#20840;&#24180;&#28216;&#25103;&#25253;&#21578;11.14A.xlsx" TargetMode="External"/></Relationships>
</file>

<file path=word/charts/_rels/chart4.xml.rels><?xml version="1.0" encoding="UTF-8" standalone="yes"?>
<Relationships xmlns="http://schemas.openxmlformats.org/package/2006/relationships"><Relationship Id="rId2" Type="http://schemas.openxmlformats.org/officeDocument/2006/relationships/themeOverride" Target="../theme/themeOverride3.xml"/><Relationship Id="rId1" Type="http://schemas.openxmlformats.org/officeDocument/2006/relationships/oleObject" Target="file:///C:\Users\Robernick\Desktop\&#8251;2018&#24180;&#20840;&#24180;&#28216;&#25103;&#25253;&#21578;11.14A.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9185491157868"/>
          <c:y val="0.0709080486779107"/>
          <c:w val="0.758409941678304"/>
          <c:h val="0.66257964190515"/>
        </c:manualLayout>
      </c:layout>
      <c:barChart>
        <c:barDir val="col"/>
        <c:grouping val="clustered"/>
        <c:varyColors val="0"/>
        <c:ser>
          <c:idx val="0"/>
          <c:order val="0"/>
          <c:tx>
            <c:strRef>
              <c:f>[※2018年全年游戏报告11.14A.xlsx]市场规模!$C$2</c:f>
              <c:strCache>
                <c:ptCount val="1"/>
                <c:pt idx="0">
                  <c:v>中国游戏市场实际销售收入(亿元)</c:v>
                </c:pt>
              </c:strCache>
            </c:strRef>
          </c:tx>
          <c:spPr>
            <a:solidFill>
              <a:srgbClr val="5B9BD5"/>
            </a:solidFill>
            <a:ln>
              <a:noFill/>
            </a:ln>
            <a:effectLst/>
          </c:spPr>
          <c:invertIfNegative val="0"/>
          <c:dLbls>
            <c:dLbl>
              <c:idx val="9"/>
              <c:layout>
                <c:manualLayout>
                  <c:x val="-1.09288354977936e-16"/>
                  <c:y val="0.015206234556168"/>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0"/>
              <c:layout>
                <c:manualLayout>
                  <c:x val="0"/>
                  <c:y val="0.0074618310042550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800" b="1"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[※2018年全年游戏报告11.14A.xlsx]市场规模!$B$3:$B$13</c:f>
              <c:strCache>
                <c:ptCount val="11"/>
                <c:pt idx="0">
                  <c:v>2008年</c:v>
                </c:pt>
                <c:pt idx="1">
                  <c:v>2009年</c:v>
                </c:pt>
                <c:pt idx="2">
                  <c:v>2010年</c:v>
                </c:pt>
                <c:pt idx="3">
                  <c:v>2011年</c:v>
                </c:pt>
                <c:pt idx="4">
                  <c:v>2012年</c:v>
                </c:pt>
                <c:pt idx="5">
                  <c:v>2013年</c:v>
                </c:pt>
                <c:pt idx="6">
                  <c:v>2014年</c:v>
                </c:pt>
                <c:pt idx="7">
                  <c:v>2015年</c:v>
                </c:pt>
                <c:pt idx="8">
                  <c:v>2016年</c:v>
                </c:pt>
                <c:pt idx="9">
                  <c:v>2017年</c:v>
                </c:pt>
                <c:pt idx="10">
                  <c:v>2018年</c:v>
                </c:pt>
              </c:strCache>
            </c:strRef>
          </c:cat>
          <c:val>
            <c:numRef>
              <c:f>[※2018年全年游戏报告11.14A.xlsx]市场规模!$C$3:$C$13</c:f>
              <c:numCache>
                <c:formatCode>0.0_ </c:formatCode>
                <c:ptCount val="11"/>
                <c:pt idx="0">
                  <c:v>185.6</c:v>
                </c:pt>
                <c:pt idx="1">
                  <c:v>262.8</c:v>
                </c:pt>
                <c:pt idx="2">
                  <c:v>333</c:v>
                </c:pt>
                <c:pt idx="3">
                  <c:v>446.1</c:v>
                </c:pt>
                <c:pt idx="4">
                  <c:v>602.754</c:v>
                </c:pt>
                <c:pt idx="5">
                  <c:v>831.668</c:v>
                </c:pt>
                <c:pt idx="6">
                  <c:v>1144.80639635002</c:v>
                </c:pt>
                <c:pt idx="7">
                  <c:v>1407.01526989343</c:v>
                </c:pt>
                <c:pt idx="8">
                  <c:v>1655.66291445438</c:v>
                </c:pt>
                <c:pt idx="9" c:formatCode="0.0_);[Red]\(0.0\)">
                  <c:v>2036.07379787859</c:v>
                </c:pt>
                <c:pt idx="10" c:formatCode="0.0_);[Red]\(0.0\)">
                  <c:v>2144.43173350388</c:v>
                </c:pt>
              </c:numCache>
            </c:numRef>
          </c:val>
        </c:ser>
        <c:dLbls>
          <c:showLegendKey val="0"/>
          <c:showVal val="1"/>
          <c:showCatName val="0"/>
          <c:showSerName val="0"/>
          <c:showPercent val="0"/>
          <c:showBubbleSize val="0"/>
        </c:dLbls>
        <c:gapWidth val="150"/>
        <c:axId val="187930226"/>
        <c:axId val="968676809"/>
      </c:barChart>
      <c:lineChart>
        <c:grouping val="standard"/>
        <c:varyColors val="0"/>
        <c:ser>
          <c:idx val="1"/>
          <c:order val="1"/>
          <c:tx>
            <c:strRef>
              <c:f>[※2018年全年游戏报告11.14A.xlsx]市场规模!$D$2</c:f>
              <c:strCache>
                <c:ptCount val="1"/>
                <c:pt idx="0">
                  <c:v>增长率</c:v>
                </c:pt>
              </c:strCache>
            </c:strRef>
          </c:tx>
          <c:spPr>
            <a:ln w="2222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0.0321013412816692"/>
                  <c:y val="-0.056510019501696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112447194100737"/>
                  <c:y val="-0.01440464666021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121520119225037"/>
                  <c:y val="0.00051336008393362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1125782414307"/>
                  <c:y val="-0.041303784945528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88777121935764"/>
                  <c:y val="-0.0527515651495854"/>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777560815330274"/>
                  <c:y val="-0.05355079046976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0704202213173417"/>
                  <c:y val="0.010029828765226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619076005961252"/>
                  <c:y val="0.057536739669563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231594634873323"/>
                  <c:y val="-0.086922488614032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00962742175856919"/>
                  <c:y val="-0.0337006676674444"/>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0"/>
              <c:layout>
                <c:manualLayout>
                  <c:x val="0.0169820575706723"/>
                  <c:y val="-0.0375022263064864"/>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800" b="1"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[※2018年全年游戏报告11.14A.xlsx]市场规模!$B$3:$B$13</c:f>
              <c:strCache>
                <c:ptCount val="11"/>
                <c:pt idx="0">
                  <c:v>2008年</c:v>
                </c:pt>
                <c:pt idx="1">
                  <c:v>2009年</c:v>
                </c:pt>
                <c:pt idx="2">
                  <c:v>2010年</c:v>
                </c:pt>
                <c:pt idx="3">
                  <c:v>2011年</c:v>
                </c:pt>
                <c:pt idx="4">
                  <c:v>2012年</c:v>
                </c:pt>
                <c:pt idx="5">
                  <c:v>2013年</c:v>
                </c:pt>
                <c:pt idx="6">
                  <c:v>2014年</c:v>
                </c:pt>
                <c:pt idx="7">
                  <c:v>2015年</c:v>
                </c:pt>
                <c:pt idx="8">
                  <c:v>2016年</c:v>
                </c:pt>
                <c:pt idx="9">
                  <c:v>2017年</c:v>
                </c:pt>
                <c:pt idx="10">
                  <c:v>2018年</c:v>
                </c:pt>
              </c:strCache>
            </c:strRef>
          </c:cat>
          <c:val>
            <c:numRef>
              <c:f>[※2018年全年游戏报告11.14A.xlsx]市场规模!$D$3:$D$13</c:f>
              <c:numCache>
                <c:formatCode>0.0%</c:formatCode>
                <c:ptCount val="11"/>
                <c:pt idx="0">
                  <c:v>0.725</c:v>
                </c:pt>
                <c:pt idx="1">
                  <c:v>0.416</c:v>
                </c:pt>
                <c:pt idx="2">
                  <c:v>0.267</c:v>
                </c:pt>
                <c:pt idx="3">
                  <c:v>0.34</c:v>
                </c:pt>
                <c:pt idx="4">
                  <c:v>0.351</c:v>
                </c:pt>
                <c:pt idx="5">
                  <c:v>0.379780142479353</c:v>
                </c:pt>
                <c:pt idx="6">
                  <c:v>0.376518510210834</c:v>
                </c:pt>
                <c:pt idx="7">
                  <c:v>0.229042110857702</c:v>
                </c:pt>
                <c:pt idx="8">
                  <c:v>0.176719933238381</c:v>
                </c:pt>
                <c:pt idx="9">
                  <c:v>0.22976348633718</c:v>
                </c:pt>
                <c:pt idx="10">
                  <c:v>0.0532190609879604</c:v>
                </c:pt>
              </c:numCache>
            </c:numRef>
          </c:val>
          <c:smooth val="0"/>
        </c:ser>
        <c:dLbls>
          <c:showLegendKey val="0"/>
          <c:showVal val="1"/>
          <c:showCatName val="0"/>
          <c:showSerName val="0"/>
          <c:showPercent val="0"/>
          <c:showBubbleSize val="0"/>
        </c:dLbls>
        <c:marker val="1"/>
        <c:smooth val="0"/>
        <c:axId val="729096504"/>
        <c:axId val="645781990"/>
      </c:lineChart>
      <c:catAx>
        <c:axId val="18793022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968676809"/>
        <c:crosses val="autoZero"/>
        <c:auto val="1"/>
        <c:lblAlgn val="ctr"/>
        <c:lblOffset val="100"/>
        <c:noMultiLvlLbl val="0"/>
      </c:catAx>
      <c:valAx>
        <c:axId val="968676809"/>
        <c:scaling>
          <c:orientation val="minMax"/>
        </c:scaling>
        <c:delete val="0"/>
        <c:axPos val="l"/>
        <c:numFmt formatCode="0.0_ " sourceLinked="1"/>
        <c:majorTickMark val="out"/>
        <c:minorTickMark val="none"/>
        <c:tickLblPos val="nextTo"/>
        <c:spPr>
          <a:noFill/>
          <a:ln>
            <a:solidFill>
              <a:sysClr val="window" lastClr="FFFFFF">
                <a:lumMod val="85000"/>
              </a:sysClr>
            </a:solidFill>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187930226"/>
        <c:crosses val="autoZero"/>
        <c:crossBetween val="between"/>
      </c:valAx>
      <c:catAx>
        <c:axId val="729096504"/>
        <c:scaling>
          <c:orientation val="minMax"/>
        </c:scaling>
        <c:delete val="1"/>
        <c:axPos val="b"/>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645781990"/>
        <c:crosses val="autoZero"/>
        <c:auto val="1"/>
        <c:lblAlgn val="ctr"/>
        <c:lblOffset val="100"/>
        <c:noMultiLvlLbl val="0"/>
      </c:catAx>
      <c:valAx>
        <c:axId val="645781990"/>
        <c:scaling>
          <c:orientation val="minMax"/>
        </c:scaling>
        <c:delete val="0"/>
        <c:axPos val="r"/>
        <c:numFmt formatCode="0.0%" sourceLinked="1"/>
        <c:majorTickMark val="out"/>
        <c:minorTickMark val="none"/>
        <c:tickLblPos val="nextTo"/>
        <c:spPr>
          <a:noFill/>
          <a:ln>
            <a:solidFill>
              <a:sysClr val="window" lastClr="FFFFFF">
                <a:lumMod val="85000"/>
              </a:sysClr>
            </a:solidFill>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729096504"/>
        <c:crosses val="max"/>
        <c:crossBetween val="between"/>
        <c:majorUnit val="0.2"/>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manualLayout>
          <c:xMode val="edge"/>
          <c:yMode val="edge"/>
          <c:x val="0.129512233789568"/>
          <c:y val="0.907067228727116"/>
          <c:w val="0.740975297550893"/>
          <c:h val="0.079503944057127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6350" cap="flat" cmpd="sng" algn="ctr">
      <a:solidFill>
        <a:srgbClr val="5B9BD5"/>
      </a:solidFill>
      <a:round/>
    </a:ln>
    <a:effectLst/>
  </c:spPr>
  <c:txPr>
    <a:bodyPr/>
    <a:lstStyle/>
    <a:p>
      <a:pPr>
        <a:defRPr lang="zh-CN">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6110892877035"/>
          <c:y val="0.0754267566494641"/>
          <c:w val="0.74759950985278"/>
          <c:h val="0.668379528184225"/>
        </c:manualLayout>
      </c:layout>
      <c:barChart>
        <c:barDir val="col"/>
        <c:grouping val="clustered"/>
        <c:varyColors val="0"/>
        <c:ser>
          <c:idx val="0"/>
          <c:order val="0"/>
          <c:tx>
            <c:strRef>
              <c:f>[※2018年全年游戏报告11.14A.xlsx]市场规模!$C$41</c:f>
              <c:strCache>
                <c:ptCount val="1"/>
                <c:pt idx="0">
                  <c:v>中国移动游戏市场实际销售收入(亿元)</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800" b="1"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[※2018年全年游戏报告11.14A.xlsx]市场规模!$B$42:$B$52</c:f>
              <c:strCache>
                <c:ptCount val="11"/>
                <c:pt idx="0">
                  <c:v>2008年</c:v>
                </c:pt>
                <c:pt idx="1">
                  <c:v>2009年</c:v>
                </c:pt>
                <c:pt idx="2">
                  <c:v>2010年</c:v>
                </c:pt>
                <c:pt idx="3">
                  <c:v>2011年</c:v>
                </c:pt>
                <c:pt idx="4">
                  <c:v>2012年</c:v>
                </c:pt>
                <c:pt idx="5">
                  <c:v>2013年</c:v>
                </c:pt>
                <c:pt idx="6">
                  <c:v>2014年</c:v>
                </c:pt>
                <c:pt idx="7">
                  <c:v>2015年</c:v>
                </c:pt>
                <c:pt idx="8">
                  <c:v>2016年</c:v>
                </c:pt>
                <c:pt idx="9">
                  <c:v>2017年</c:v>
                </c:pt>
                <c:pt idx="10">
                  <c:v>2018年</c:v>
                </c:pt>
              </c:strCache>
            </c:strRef>
          </c:cat>
          <c:val>
            <c:numRef>
              <c:f>[※2018年全年游戏报告11.14A.xlsx]市场规模!$C$42:$C$52</c:f>
              <c:numCache>
                <c:formatCode>0.0_ </c:formatCode>
                <c:ptCount val="11"/>
                <c:pt idx="0">
                  <c:v>1.5</c:v>
                </c:pt>
                <c:pt idx="1">
                  <c:v>6.4</c:v>
                </c:pt>
                <c:pt idx="2">
                  <c:v>9.1</c:v>
                </c:pt>
                <c:pt idx="3">
                  <c:v>17</c:v>
                </c:pt>
                <c:pt idx="4">
                  <c:v>32.4</c:v>
                </c:pt>
                <c:pt idx="5">
                  <c:v>112.4</c:v>
                </c:pt>
                <c:pt idx="6">
                  <c:v>274.917714285714</c:v>
                </c:pt>
                <c:pt idx="7">
                  <c:v>514.645961142857</c:v>
                </c:pt>
                <c:pt idx="8">
                  <c:v>819.174229029755</c:v>
                </c:pt>
                <c:pt idx="9">
                  <c:v>1161.15291416833</c:v>
                </c:pt>
                <c:pt idx="10">
                  <c:v>1339.5565668808</c:v>
                </c:pt>
              </c:numCache>
            </c:numRef>
          </c:val>
        </c:ser>
        <c:dLbls>
          <c:showLegendKey val="0"/>
          <c:showVal val="1"/>
          <c:showCatName val="0"/>
          <c:showSerName val="0"/>
          <c:showPercent val="0"/>
          <c:showBubbleSize val="0"/>
        </c:dLbls>
        <c:gapWidth val="150"/>
        <c:axId val="89023616"/>
        <c:axId val="89042944"/>
      </c:barChart>
      <c:lineChart>
        <c:grouping val="standard"/>
        <c:varyColors val="0"/>
        <c:ser>
          <c:idx val="1"/>
          <c:order val="1"/>
          <c:tx>
            <c:strRef>
              <c:f>[※2018年全年游戏报告11.14A.xlsx]市场规模!$D$41</c:f>
              <c:strCache>
                <c:ptCount val="1"/>
                <c:pt idx="0">
                  <c:v>增长率</c:v>
                </c:pt>
              </c:strCache>
            </c:strRef>
          </c:tx>
          <c:spPr>
            <a:ln w="19050" cap="rnd" cmpd="sng" algn="ctr">
              <a:solidFill>
                <a:srgbClr val="ED7D31"/>
              </a:solidFill>
              <a:prstDash val="solid"/>
              <a:round/>
            </a:ln>
            <a:effectLst/>
          </c:spPr>
          <c:marker>
            <c:symbol val="circle"/>
            <c:size val="5"/>
            <c:spPr>
              <a:solidFill>
                <a:schemeClr val="accent2"/>
              </a:solidFill>
              <a:ln w="9525" cap="flat" cmpd="sng" algn="ctr">
                <a:solidFill>
                  <a:schemeClr val="accent2"/>
                </a:solidFill>
                <a:prstDash val="solid"/>
                <a:round/>
              </a:ln>
              <a:effectLst/>
            </c:spPr>
          </c:marker>
          <c:dLbls>
            <c:dLbl>
              <c:idx val="0"/>
              <c:layout>
                <c:manualLayout>
                  <c:x val="-0.00832124577130763"/>
                  <c:y val="-0.060131035625310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276020895749908"/>
                  <c:y val="-0.056145577078768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303860788808696"/>
                  <c:y val="-0.0283567719973868"/>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38117271826502"/>
                  <c:y val="-0.0680628795953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185043474182257"/>
                  <c:y val="-0.036304245216668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514333288383628"/>
                  <c:y val="-0.052175747781428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186708567609242"/>
                  <c:y val="-0.052179498801236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231422189128816"/>
                  <c:y val="-0.056113380825411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202468325115355"/>
                  <c:y val="-0.075998474585277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0155770662695458"/>
                  <c:y val="-0.0322944050413707"/>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909605361131794"/>
                      <c:h val="0.0664152441445018"/>
                    </c:manualLayout>
                  </c15:layout>
                </c:ext>
              </c:extLst>
            </c:dLbl>
            <c:dLbl>
              <c:idx val="10"/>
              <c:layout>
                <c:manualLayout>
                  <c:x val="0.0184724526708918"/>
                  <c:y val="-0.016447284105366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800" b="1"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[※2018年全年游戏报告11.14A.xlsx]市场规模!$B$42:$B$52</c:f>
              <c:strCache>
                <c:ptCount val="11"/>
                <c:pt idx="0">
                  <c:v>2008年</c:v>
                </c:pt>
                <c:pt idx="1">
                  <c:v>2009年</c:v>
                </c:pt>
                <c:pt idx="2">
                  <c:v>2010年</c:v>
                </c:pt>
                <c:pt idx="3">
                  <c:v>2011年</c:v>
                </c:pt>
                <c:pt idx="4">
                  <c:v>2012年</c:v>
                </c:pt>
                <c:pt idx="5">
                  <c:v>2013年</c:v>
                </c:pt>
                <c:pt idx="6">
                  <c:v>2014年</c:v>
                </c:pt>
                <c:pt idx="7">
                  <c:v>2015年</c:v>
                </c:pt>
                <c:pt idx="8">
                  <c:v>2016年</c:v>
                </c:pt>
                <c:pt idx="9">
                  <c:v>2017年</c:v>
                </c:pt>
                <c:pt idx="10">
                  <c:v>2018年</c:v>
                </c:pt>
              </c:strCache>
            </c:strRef>
          </c:cat>
          <c:val>
            <c:numRef>
              <c:f>[※2018年全年游戏报告11.14A.xlsx]市场规模!$D$42:$D$52</c:f>
              <c:numCache>
                <c:formatCode>0.0%</c:formatCode>
                <c:ptCount val="11"/>
                <c:pt idx="0">
                  <c:v>0.25</c:v>
                </c:pt>
                <c:pt idx="1">
                  <c:v>3.267</c:v>
                </c:pt>
                <c:pt idx="2">
                  <c:v>0.42</c:v>
                </c:pt>
                <c:pt idx="3">
                  <c:v>0.868</c:v>
                </c:pt>
                <c:pt idx="4">
                  <c:v>0.906</c:v>
                </c:pt>
                <c:pt idx="5">
                  <c:v>2.46913580246914</c:v>
                </c:pt>
                <c:pt idx="6">
                  <c:v>1.44588713777326</c:v>
                </c:pt>
                <c:pt idx="7">
                  <c:v>0.872</c:v>
                </c:pt>
                <c:pt idx="8">
                  <c:v>0.591723807975957</c:v>
                </c:pt>
                <c:pt idx="9">
                  <c:v>0.417467582621123</c:v>
                </c:pt>
                <c:pt idx="10">
                  <c:v>0.153643547318871</c:v>
                </c:pt>
              </c:numCache>
            </c:numRef>
          </c:val>
          <c:smooth val="0"/>
        </c:ser>
        <c:dLbls>
          <c:showLegendKey val="0"/>
          <c:showVal val="1"/>
          <c:showCatName val="0"/>
          <c:showSerName val="0"/>
          <c:showPercent val="0"/>
          <c:showBubbleSize val="0"/>
        </c:dLbls>
        <c:marker val="1"/>
        <c:smooth val="0"/>
        <c:axId val="89044480"/>
        <c:axId val="89046016"/>
      </c:lineChart>
      <c:catAx>
        <c:axId val="8902361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042944"/>
        <c:crosses val="autoZero"/>
        <c:auto val="1"/>
        <c:lblAlgn val="ctr"/>
        <c:lblOffset val="100"/>
        <c:noMultiLvlLbl val="0"/>
      </c:catAx>
      <c:valAx>
        <c:axId val="89042944"/>
        <c:scaling>
          <c:orientation val="minMax"/>
        </c:scaling>
        <c:delete val="0"/>
        <c:axPos val="l"/>
        <c:numFmt formatCode="0.0_ " sourceLinked="1"/>
        <c:majorTickMark val="out"/>
        <c:minorTickMark val="none"/>
        <c:tickLblPos val="nextTo"/>
        <c:spPr>
          <a:noFill/>
          <a:ln w="6350" cap="flat" cmpd="sng" algn="ctr">
            <a:solidFill>
              <a:sysClr val="window" lastClr="FFFFFF">
                <a:lumMod val="85000"/>
              </a:sysClr>
            </a:solidFill>
            <a:prstDash val="solid"/>
            <a:round/>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023616"/>
        <c:crosses val="autoZero"/>
        <c:crossBetween val="between"/>
      </c:valAx>
      <c:catAx>
        <c:axId val="89044480"/>
        <c:scaling>
          <c:orientation val="minMax"/>
        </c:scaling>
        <c:delete val="1"/>
        <c:axPos val="b"/>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046016"/>
        <c:crosses val="autoZero"/>
        <c:auto val="1"/>
        <c:lblAlgn val="ctr"/>
        <c:lblOffset val="100"/>
        <c:noMultiLvlLbl val="0"/>
      </c:catAx>
      <c:valAx>
        <c:axId val="89046016"/>
        <c:scaling>
          <c:orientation val="minMax"/>
        </c:scaling>
        <c:delete val="0"/>
        <c:axPos val="r"/>
        <c:numFmt formatCode="0.0%" sourceLinked="1"/>
        <c:majorTickMark val="none"/>
        <c:minorTickMark val="out"/>
        <c:tickLblPos val="nextTo"/>
        <c:spPr>
          <a:noFill/>
          <a:ln w="6350" cap="flat" cmpd="sng" algn="ctr">
            <a:solidFill>
              <a:sysClr val="window" lastClr="FFFFFF">
                <a:lumMod val="85000"/>
              </a:sysClr>
            </a:solidFill>
            <a:prstDash val="solid"/>
            <a:round/>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044480"/>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6350" cap="flat" cmpd="sng" algn="ctr">
      <a:solidFill>
        <a:srgbClr val="5B9BD5"/>
      </a:solidFill>
      <a:prstDash val="solid"/>
      <a:round/>
    </a:ln>
    <a:effectLst/>
  </c:spPr>
  <c:txPr>
    <a:bodyPr/>
    <a:lstStyle/>
    <a:p>
      <a:pPr>
        <a:defRPr lang="zh-CN">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2292670096822"/>
          <c:y val="0.0784637621309106"/>
          <c:w val="0.764916598368836"/>
          <c:h val="0.67980509250302"/>
        </c:manualLayout>
      </c:layout>
      <c:barChart>
        <c:barDir val="col"/>
        <c:grouping val="clustered"/>
        <c:varyColors val="0"/>
        <c:ser>
          <c:idx val="0"/>
          <c:order val="0"/>
          <c:tx>
            <c:strRef>
              <c:f>[※2018年全年游戏报告11.14A.xlsx]市场规模!$C$15</c:f>
              <c:strCache>
                <c:ptCount val="1"/>
                <c:pt idx="0">
                  <c:v>中国客户端游戏市场实际销售收入(亿元)</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800" b="1"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[※2018年全年游戏报告11.14A.xlsx]市场规模!$B$16:$B$26</c:f>
              <c:strCache>
                <c:ptCount val="11"/>
                <c:pt idx="0">
                  <c:v>2008年</c:v>
                </c:pt>
                <c:pt idx="1">
                  <c:v>2009年</c:v>
                </c:pt>
                <c:pt idx="2">
                  <c:v>2010年</c:v>
                </c:pt>
                <c:pt idx="3">
                  <c:v>2011年</c:v>
                </c:pt>
                <c:pt idx="4">
                  <c:v>2012年</c:v>
                </c:pt>
                <c:pt idx="5">
                  <c:v>2013年</c:v>
                </c:pt>
                <c:pt idx="6">
                  <c:v>2014年</c:v>
                </c:pt>
                <c:pt idx="7">
                  <c:v>2015年</c:v>
                </c:pt>
                <c:pt idx="8">
                  <c:v>2016年</c:v>
                </c:pt>
                <c:pt idx="9">
                  <c:v>2017年</c:v>
                </c:pt>
                <c:pt idx="10">
                  <c:v>2018年</c:v>
                </c:pt>
              </c:strCache>
            </c:strRef>
          </c:cat>
          <c:val>
            <c:numRef>
              <c:f>[※2018年全年游戏报告11.14A.xlsx]市场规模!$C$16:$C$26</c:f>
              <c:numCache>
                <c:formatCode>0.0_ </c:formatCode>
                <c:ptCount val="11"/>
                <c:pt idx="0">
                  <c:v>167.1</c:v>
                </c:pt>
                <c:pt idx="1">
                  <c:v>233.2</c:v>
                </c:pt>
                <c:pt idx="2">
                  <c:v>271.6</c:v>
                </c:pt>
                <c:pt idx="3">
                  <c:v>366.9</c:v>
                </c:pt>
                <c:pt idx="4">
                  <c:v>451.2</c:v>
                </c:pt>
                <c:pt idx="5">
                  <c:v>536.6</c:v>
                </c:pt>
                <c:pt idx="6">
                  <c:v>608.933668659484</c:v>
                </c:pt>
                <c:pt idx="7">
                  <c:v>611.565805372559</c:v>
                </c:pt>
                <c:pt idx="8">
                  <c:v>582.489085896023</c:v>
                </c:pt>
                <c:pt idx="9">
                  <c:v>648.611160251367</c:v>
                </c:pt>
                <c:pt idx="10">
                  <c:v>619.643330704725</c:v>
                </c:pt>
              </c:numCache>
            </c:numRef>
          </c:val>
        </c:ser>
        <c:dLbls>
          <c:showLegendKey val="0"/>
          <c:showVal val="1"/>
          <c:showCatName val="0"/>
          <c:showSerName val="0"/>
          <c:showPercent val="0"/>
          <c:showBubbleSize val="0"/>
        </c:dLbls>
        <c:gapWidth val="150"/>
        <c:axId val="90204416"/>
        <c:axId val="90207360"/>
      </c:barChart>
      <c:lineChart>
        <c:grouping val="standard"/>
        <c:varyColors val="0"/>
        <c:ser>
          <c:idx val="1"/>
          <c:order val="1"/>
          <c:tx>
            <c:strRef>
              <c:f>[※2018年全年游戏报告11.14A.xlsx]市场规模!$D$15</c:f>
              <c:strCache>
                <c:ptCount val="1"/>
                <c:pt idx="0">
                  <c:v>增长率</c:v>
                </c:pt>
              </c:strCache>
            </c:strRef>
          </c:tx>
          <c:spPr>
            <a:ln w="19050" cap="rnd" cmpd="sng" algn="ctr">
              <a:solidFill>
                <a:srgbClr val="ED7D31"/>
              </a:solidFill>
              <a:prstDash val="solid"/>
              <a:round/>
            </a:ln>
            <a:effectLst/>
          </c:spPr>
          <c:marker>
            <c:symbol val="circle"/>
            <c:size val="5"/>
            <c:spPr>
              <a:solidFill>
                <a:schemeClr val="accent2"/>
              </a:solidFill>
              <a:ln w="3175" cap="flat" cmpd="sng" algn="ctr">
                <a:solidFill>
                  <a:srgbClr val="ED7D31"/>
                </a:solidFill>
                <a:prstDash val="solid"/>
                <a:round/>
              </a:ln>
              <a:effectLst/>
            </c:spPr>
          </c:marker>
          <c:dLbls>
            <c:dLbl>
              <c:idx val="0"/>
              <c:layout>
                <c:manualLayout>
                  <c:x val="-0.00229645093945723"/>
                  <c:y val="0.0277172508092693"/>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910826125857441"/>
                      <c:h val="0.0690894073921123"/>
                    </c:manualLayout>
                  </c15:layout>
                </c:ext>
              </c:extLst>
            </c:dLbl>
            <c:dLbl>
              <c:idx val="1"/>
              <c:layout>
                <c:manualLayout>
                  <c:x val="-0.0828213540113332"/>
                  <c:y val="-0.05312806372050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445857628965482"/>
                  <c:y val="-0.015508055298580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887861616462869"/>
                  <c:y val="-0.057257735411609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0445857628965476"/>
                  <c:y val="-0.021137740809448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18580375782881"/>
                  <c:y val="-0.0489983920294084"/>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00685952878019684"/>
                  <c:y val="-0.0077016751184029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110273794063841"/>
                  <c:y val="-0.0407390486472074"/>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117877749623677"/>
                  <c:y val="-0.0077016751184028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014226066209365"/>
                  <c:y val="-0.020090690191704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0"/>
              <c:layout>
                <c:manualLayout>
                  <c:x val="-0.0090890517599705"/>
                  <c:y val="-0.0118313468095034"/>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800" b="1"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[※2018年全年游戏报告11.14A.xlsx]市场规模!$B$16:$B$26</c:f>
              <c:strCache>
                <c:ptCount val="11"/>
                <c:pt idx="0">
                  <c:v>2008年</c:v>
                </c:pt>
                <c:pt idx="1">
                  <c:v>2009年</c:v>
                </c:pt>
                <c:pt idx="2">
                  <c:v>2010年</c:v>
                </c:pt>
                <c:pt idx="3">
                  <c:v>2011年</c:v>
                </c:pt>
                <c:pt idx="4">
                  <c:v>2012年</c:v>
                </c:pt>
                <c:pt idx="5">
                  <c:v>2013年</c:v>
                </c:pt>
                <c:pt idx="6">
                  <c:v>2014年</c:v>
                </c:pt>
                <c:pt idx="7">
                  <c:v>2015年</c:v>
                </c:pt>
                <c:pt idx="8">
                  <c:v>2016年</c:v>
                </c:pt>
                <c:pt idx="9">
                  <c:v>2017年</c:v>
                </c:pt>
                <c:pt idx="10">
                  <c:v>2018年</c:v>
                </c:pt>
              </c:strCache>
            </c:strRef>
          </c:cat>
          <c:val>
            <c:numRef>
              <c:f>[※2018年全年游戏报告11.14A.xlsx]市场规模!$D$16:$D$26</c:f>
              <c:numCache>
                <c:formatCode>0.0%</c:formatCode>
                <c:ptCount val="11"/>
                <c:pt idx="0">
                  <c:v>0.217</c:v>
                </c:pt>
                <c:pt idx="1">
                  <c:v>0.395</c:v>
                </c:pt>
                <c:pt idx="2">
                  <c:v>0.165</c:v>
                </c:pt>
                <c:pt idx="3">
                  <c:v>0.351</c:v>
                </c:pt>
                <c:pt idx="4">
                  <c:v>0.23</c:v>
                </c:pt>
                <c:pt idx="5">
                  <c:v>0.18927304964539</c:v>
                </c:pt>
                <c:pt idx="6">
                  <c:v>0.134799978865978</c:v>
                </c:pt>
                <c:pt idx="7">
                  <c:v>0.004</c:v>
                </c:pt>
                <c:pt idx="8">
                  <c:v>-0.0475447110042774</c:v>
                </c:pt>
                <c:pt idx="9">
                  <c:v>0.113516417657218</c:v>
                </c:pt>
                <c:pt idx="10">
                  <c:v>-0.0446613184013291</c:v>
                </c:pt>
              </c:numCache>
            </c:numRef>
          </c:val>
          <c:smooth val="0"/>
        </c:ser>
        <c:dLbls>
          <c:showLegendKey val="0"/>
          <c:showVal val="1"/>
          <c:showCatName val="0"/>
          <c:showSerName val="0"/>
          <c:showPercent val="0"/>
          <c:showBubbleSize val="0"/>
        </c:dLbls>
        <c:marker val="1"/>
        <c:smooth val="0"/>
        <c:axId val="90208896"/>
        <c:axId val="90222976"/>
      </c:lineChart>
      <c:catAx>
        <c:axId val="9020441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90207360"/>
        <c:crosses val="autoZero"/>
        <c:auto val="1"/>
        <c:lblAlgn val="ctr"/>
        <c:lblOffset val="100"/>
        <c:noMultiLvlLbl val="0"/>
      </c:catAx>
      <c:valAx>
        <c:axId val="90207360"/>
        <c:scaling>
          <c:orientation val="minMax"/>
        </c:scaling>
        <c:delete val="0"/>
        <c:axPos val="l"/>
        <c:numFmt formatCode="0.0_ " sourceLinked="1"/>
        <c:majorTickMark val="out"/>
        <c:minorTickMark val="none"/>
        <c:tickLblPos val="nextTo"/>
        <c:spPr>
          <a:noFill/>
          <a:ln w="6350" cap="flat" cmpd="sng" algn="ctr">
            <a:solidFill>
              <a:sysClr val="window" lastClr="FFFFFF">
                <a:lumMod val="85000"/>
              </a:sysClr>
            </a:solidFill>
            <a:prstDash val="solid"/>
            <a:round/>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90204416"/>
        <c:crosses val="autoZero"/>
        <c:crossBetween val="between"/>
      </c:valAx>
      <c:catAx>
        <c:axId val="90208896"/>
        <c:scaling>
          <c:orientation val="minMax"/>
        </c:scaling>
        <c:delete val="1"/>
        <c:axPos val="b"/>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90222976"/>
        <c:crosses val="autoZero"/>
        <c:auto val="1"/>
        <c:lblAlgn val="ctr"/>
        <c:lblOffset val="100"/>
        <c:noMultiLvlLbl val="0"/>
      </c:catAx>
      <c:valAx>
        <c:axId val="90222976"/>
        <c:scaling>
          <c:orientation val="minMax"/>
        </c:scaling>
        <c:delete val="0"/>
        <c:axPos val="r"/>
        <c:numFmt formatCode="0.0%" sourceLinked="1"/>
        <c:majorTickMark val="none"/>
        <c:minorTickMark val="out"/>
        <c:tickLblPos val="nextTo"/>
        <c:spPr>
          <a:noFill/>
          <a:ln w="6350" cap="flat" cmpd="sng" algn="ctr">
            <a:solidFill>
              <a:sysClr val="window" lastClr="FFFFFF">
                <a:lumMod val="85000"/>
              </a:sysClr>
            </a:solidFill>
            <a:prstDash val="solid"/>
            <a:round/>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90208896"/>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6350" cap="flat" cmpd="sng" algn="ctr">
      <a:solidFill>
        <a:srgbClr val="5B9BD5"/>
      </a:solidFill>
      <a:prstDash val="solid"/>
      <a:round/>
    </a:ln>
    <a:effectLst/>
  </c:spPr>
  <c:txPr>
    <a:bodyPr/>
    <a:lstStyle/>
    <a:p>
      <a:pPr>
        <a:defRPr lang="zh-CN">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2292670096822"/>
          <c:y val="0.0737005430566331"/>
          <c:w val="0.76124824167334"/>
          <c:h val="0.675968980409644"/>
        </c:manualLayout>
      </c:layout>
      <c:barChart>
        <c:barDir val="col"/>
        <c:grouping val="clustered"/>
        <c:varyColors val="0"/>
        <c:ser>
          <c:idx val="0"/>
          <c:order val="0"/>
          <c:tx>
            <c:strRef>
              <c:f>[※2018年全年游戏报告11.14A.xlsx]市场规模!$C$28</c:f>
              <c:strCache>
                <c:ptCount val="1"/>
                <c:pt idx="0">
                  <c:v>中国网页游戏市场实际销售收入(亿元)</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800" b="1"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[※2018年全年游戏报告11.14A.xlsx]市场规模!$B$29:$B$39</c:f>
              <c:strCache>
                <c:ptCount val="11"/>
                <c:pt idx="0">
                  <c:v>2008年</c:v>
                </c:pt>
                <c:pt idx="1">
                  <c:v>2009年</c:v>
                </c:pt>
                <c:pt idx="2">
                  <c:v>2010年</c:v>
                </c:pt>
                <c:pt idx="3">
                  <c:v>2011年</c:v>
                </c:pt>
                <c:pt idx="4">
                  <c:v>2012年</c:v>
                </c:pt>
                <c:pt idx="5">
                  <c:v>2013年</c:v>
                </c:pt>
                <c:pt idx="6">
                  <c:v>2014年</c:v>
                </c:pt>
                <c:pt idx="7">
                  <c:v>2015年</c:v>
                </c:pt>
                <c:pt idx="8">
                  <c:v>2016年</c:v>
                </c:pt>
                <c:pt idx="9">
                  <c:v>2017年</c:v>
                </c:pt>
                <c:pt idx="10">
                  <c:v>2018年</c:v>
                </c:pt>
              </c:strCache>
            </c:strRef>
          </c:cat>
          <c:val>
            <c:numRef>
              <c:f>[※2018年全年游戏报告11.14A.xlsx]市场规模!$C$29:$C$39</c:f>
              <c:numCache>
                <c:formatCode>0.0_ </c:formatCode>
                <c:ptCount val="11"/>
                <c:pt idx="0">
                  <c:v>4.5</c:v>
                </c:pt>
                <c:pt idx="1">
                  <c:v>14</c:v>
                </c:pt>
                <c:pt idx="2">
                  <c:v>41.8</c:v>
                </c:pt>
                <c:pt idx="3">
                  <c:v>55.4</c:v>
                </c:pt>
                <c:pt idx="4">
                  <c:v>81.1</c:v>
                </c:pt>
                <c:pt idx="5">
                  <c:v>127.678</c:v>
                </c:pt>
                <c:pt idx="6">
                  <c:v>202.7</c:v>
                </c:pt>
                <c:pt idx="7">
                  <c:v>219.6</c:v>
                </c:pt>
                <c:pt idx="8">
                  <c:v>187.145543338002</c:v>
                </c:pt>
                <c:pt idx="9">
                  <c:v>156.029571548668</c:v>
                </c:pt>
                <c:pt idx="10">
                  <c:v>126.481835918354</c:v>
                </c:pt>
              </c:numCache>
            </c:numRef>
          </c:val>
        </c:ser>
        <c:dLbls>
          <c:showLegendKey val="0"/>
          <c:showVal val="1"/>
          <c:showCatName val="0"/>
          <c:showSerName val="0"/>
          <c:showPercent val="0"/>
          <c:showBubbleSize val="0"/>
        </c:dLbls>
        <c:gapWidth val="150"/>
        <c:axId val="89662592"/>
        <c:axId val="89665536"/>
      </c:barChart>
      <c:lineChart>
        <c:grouping val="standard"/>
        <c:varyColors val="0"/>
        <c:ser>
          <c:idx val="1"/>
          <c:order val="1"/>
          <c:tx>
            <c:strRef>
              <c:f>[※2018年全年游戏报告11.14A.xlsx]市场规模!$D$28</c:f>
              <c:strCache>
                <c:ptCount val="1"/>
                <c:pt idx="0">
                  <c:v>增长率</c:v>
                </c:pt>
              </c:strCache>
            </c:strRef>
          </c:tx>
          <c:spPr>
            <a:ln w="28575" cap="rnd" cmpd="sng" algn="ctr">
              <a:solidFill>
                <a:schemeClr val="accent2"/>
              </a:solidFill>
              <a:prstDash val="solid"/>
              <a:round/>
            </a:ln>
            <a:effectLst/>
          </c:spPr>
          <c:marker>
            <c:symbol val="circle"/>
            <c:size val="5"/>
            <c:spPr>
              <a:solidFill>
                <a:schemeClr val="accent2"/>
              </a:solidFill>
              <a:ln w="9525" cap="flat" cmpd="sng" algn="ctr">
                <a:solidFill>
                  <a:schemeClr val="accent2"/>
                </a:solidFill>
                <a:prstDash val="solid"/>
                <a:round/>
              </a:ln>
              <a:effectLst/>
            </c:spPr>
          </c:marker>
          <c:dLbls>
            <c:dLbl>
              <c:idx val="0"/>
              <c:layout>
                <c:manualLayout>
                  <c:x val="-0.0362214117807299"/>
                  <c:y val="0.051245853771769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749926614079294"/>
                  <c:y val="-0.053723816912335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553224166394644"/>
                  <c:y val="-0.0219079674776883"/>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151416641813302"/>
                  <c:y val="-0.05482917234259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185803757828809"/>
                  <c:y val="0.05378215426717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172084700268417"/>
                  <c:y val="-0.050950196392246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0448863516277584"/>
                  <c:y val="-0.0341328503448318"/>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098494473159541"/>
                  <c:y val="-0.0509501963922469"/>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763643323290225"/>
                      <c:h val="0.0648952676493406"/>
                    </c:manualLayout>
                  </c15:layout>
                </c:ext>
              </c:extLst>
            </c:dLbl>
            <c:dLbl>
              <c:idx val="8"/>
              <c:layout>
                <c:manualLayout>
                  <c:x val="-0.0192440193410062"/>
                  <c:y val="-0.077193453999010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0164480744708582"/>
                  <c:y val="-0.05095019639224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0"/>
              <c:layout>
                <c:manualLayout>
                  <c:x val="0.0135624226512396"/>
                  <c:y val="0.0242478757261626"/>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800" b="1"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[※2018年全年游戏报告11.14A.xlsx]市场规模!$B$29:$B$39</c:f>
              <c:strCache>
                <c:ptCount val="11"/>
                <c:pt idx="0">
                  <c:v>2008年</c:v>
                </c:pt>
                <c:pt idx="1">
                  <c:v>2009年</c:v>
                </c:pt>
                <c:pt idx="2">
                  <c:v>2010年</c:v>
                </c:pt>
                <c:pt idx="3">
                  <c:v>2011年</c:v>
                </c:pt>
                <c:pt idx="4">
                  <c:v>2012年</c:v>
                </c:pt>
                <c:pt idx="5">
                  <c:v>2013年</c:v>
                </c:pt>
                <c:pt idx="6">
                  <c:v>2014年</c:v>
                </c:pt>
                <c:pt idx="7">
                  <c:v>2015年</c:v>
                </c:pt>
                <c:pt idx="8">
                  <c:v>2016年</c:v>
                </c:pt>
                <c:pt idx="9">
                  <c:v>2017年</c:v>
                </c:pt>
                <c:pt idx="10">
                  <c:v>2018年</c:v>
                </c:pt>
              </c:strCache>
            </c:strRef>
          </c:cat>
          <c:val>
            <c:numRef>
              <c:f>[※2018年全年游戏报告11.14A.xlsx]市场规模!$D$29:$D$39</c:f>
              <c:numCache>
                <c:formatCode>0.0%</c:formatCode>
                <c:ptCount val="11"/>
                <c:pt idx="0">
                  <c:v>1.612</c:v>
                </c:pt>
                <c:pt idx="1">
                  <c:v>2.111</c:v>
                </c:pt>
                <c:pt idx="2">
                  <c:v>1.989</c:v>
                </c:pt>
                <c:pt idx="3">
                  <c:v>0.324</c:v>
                </c:pt>
                <c:pt idx="4">
                  <c:v>0.463898916967509</c:v>
                </c:pt>
                <c:pt idx="5">
                  <c:v>0.574327990135635</c:v>
                </c:pt>
                <c:pt idx="6">
                  <c:v>0.587587524867244</c:v>
                </c:pt>
                <c:pt idx="7">
                  <c:v>0.0833744449925999</c:v>
                </c:pt>
                <c:pt idx="8">
                  <c:v>-0.147788964763199</c:v>
                </c:pt>
                <c:pt idx="9">
                  <c:v>-0.166266165008995</c:v>
                </c:pt>
                <c:pt idx="10">
                  <c:v>-0.189372664021562</c:v>
                </c:pt>
              </c:numCache>
            </c:numRef>
          </c:val>
          <c:smooth val="0"/>
        </c:ser>
        <c:dLbls>
          <c:showLegendKey val="0"/>
          <c:showVal val="1"/>
          <c:showCatName val="0"/>
          <c:showSerName val="0"/>
          <c:showPercent val="0"/>
          <c:showBubbleSize val="0"/>
        </c:dLbls>
        <c:marker val="1"/>
        <c:smooth val="0"/>
        <c:axId val="89666688"/>
        <c:axId val="89668224"/>
      </c:lineChart>
      <c:catAx>
        <c:axId val="8966259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665536"/>
        <c:crosses val="autoZero"/>
        <c:auto val="1"/>
        <c:lblAlgn val="ctr"/>
        <c:lblOffset val="100"/>
        <c:noMultiLvlLbl val="0"/>
      </c:catAx>
      <c:valAx>
        <c:axId val="89665536"/>
        <c:scaling>
          <c:orientation val="minMax"/>
        </c:scaling>
        <c:delete val="0"/>
        <c:axPos val="l"/>
        <c:numFmt formatCode="0.0_ " sourceLinked="1"/>
        <c:majorTickMark val="out"/>
        <c:minorTickMark val="none"/>
        <c:tickLblPos val="nextTo"/>
        <c:spPr>
          <a:noFill/>
          <a:ln w="6350" cap="flat" cmpd="sng" algn="ctr">
            <a:solidFill>
              <a:sysClr val="window" lastClr="FFFFFF">
                <a:lumMod val="85000"/>
              </a:sysClr>
            </a:solidFill>
            <a:prstDash val="solid"/>
            <a:round/>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662592"/>
        <c:crosses val="autoZero"/>
        <c:crossBetween val="between"/>
      </c:valAx>
      <c:catAx>
        <c:axId val="89666688"/>
        <c:scaling>
          <c:orientation val="minMax"/>
        </c:scaling>
        <c:delete val="1"/>
        <c:axPos val="b"/>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668224"/>
        <c:crosses val="autoZero"/>
        <c:auto val="1"/>
        <c:lblAlgn val="ctr"/>
        <c:lblOffset val="100"/>
        <c:noMultiLvlLbl val="0"/>
      </c:catAx>
      <c:valAx>
        <c:axId val="89668224"/>
        <c:scaling>
          <c:orientation val="minMax"/>
        </c:scaling>
        <c:delete val="0"/>
        <c:axPos val="r"/>
        <c:numFmt formatCode="0.0%" sourceLinked="1"/>
        <c:majorTickMark val="out"/>
        <c:minorTickMark val="none"/>
        <c:tickLblPos val="nextTo"/>
        <c:spPr>
          <a:noFill/>
          <a:ln w="6350" cap="flat" cmpd="sng" algn="ctr">
            <a:solidFill>
              <a:sysClr val="window" lastClr="FFFFFF">
                <a:lumMod val="85000"/>
              </a:sysClr>
            </a:solidFill>
            <a:prstDash val="solid"/>
            <a:round/>
          </a:ln>
          <a:effectLst/>
        </c:spPr>
        <c:txPr>
          <a:bodyPr rot="-60000000" spcFirstLastPara="0" vertOverflow="ellipsis" vert="horz" wrap="square" anchor="ctr" anchorCtr="1"/>
          <a:lstStyle/>
          <a:p>
            <a:pPr>
              <a:defRPr lang="zh-CN" sz="8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crossAx val="89666688"/>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egendEntry>
        <c:idx val="1"/>
        <c:txPr>
          <a:bodyPr rot="0" spcFirstLastPara="0" vertOverflow="ellipsis" vert="horz" wrap="square" anchor="ctr" anchorCtr="1"/>
          <a:lstStyle/>
          <a:p>
            <a:pPr>
              <a:defRPr lang="zh-CN" sz="9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legend>
    <c:plotVisOnly val="1"/>
    <c:dispBlanksAs val="gap"/>
    <c:showDLblsOverMax val="0"/>
  </c:chart>
  <c:spPr>
    <a:solidFill>
      <a:schemeClr val="bg1"/>
    </a:solidFill>
    <a:ln w="6350" cap="flat" cmpd="sng" algn="ctr">
      <a:solidFill>
        <a:srgbClr val="5B9BD5"/>
      </a:solidFill>
      <a:prstDash val="solid"/>
      <a:round/>
    </a:ln>
    <a:effectLst/>
  </c:spPr>
  <c:txPr>
    <a:bodyPr/>
    <a:lstStyle/>
    <a:p>
      <a:pPr>
        <a:defRPr lang="zh-CN">
          <a:solidFill>
            <a:sysClr val="windowText" lastClr="000000"/>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2009-2019</a:t>
            </a:r>
            <a:r>
              <a:rPr altLang="en-US"/>
              <a:t>中国电子竞技市场规模</a:t>
            </a:r>
            <a:endParaRPr lang="en-US" altLang="zh-CN"/>
          </a:p>
        </c:rich>
      </c:tx>
      <c:layout/>
      <c:overlay val="0"/>
      <c:spPr>
        <a:noFill/>
        <a:ln>
          <a:noFill/>
        </a:ln>
        <a:effectLst/>
      </c:spPr>
    </c:title>
    <c:autoTitleDeleted val="0"/>
    <c:plotArea>
      <c:layout>
        <c:manualLayout>
          <c:layoutTarget val="inner"/>
          <c:xMode val="edge"/>
          <c:yMode val="edge"/>
          <c:x val="0.116863823933975"/>
          <c:y val="0.0487707375574655"/>
          <c:w val="0.869381017881706"/>
          <c:h val="0.868558864681191"/>
        </c:manualLayout>
      </c:layout>
      <c:barChart>
        <c:barDir val="col"/>
        <c:grouping val="stacked"/>
        <c:varyColors val="0"/>
        <c:ser>
          <c:idx val="0"/>
          <c:order val="0"/>
          <c:tx>
            <c:strRef>
              <c:f>Sheet1!$B$1</c:f>
              <c:strCache>
                <c:ptCount val="1"/>
                <c:pt idx="0">
                  <c:v>市场规模（亿元）</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2009年</c:v>
                </c:pt>
                <c:pt idx="1">
                  <c:v>2010年</c:v>
                </c:pt>
                <c:pt idx="2">
                  <c:v>2011年</c:v>
                </c:pt>
                <c:pt idx="3">
                  <c:v>2012年</c:v>
                </c:pt>
                <c:pt idx="4">
                  <c:v>2013年</c:v>
                </c:pt>
                <c:pt idx="5">
                  <c:v>2014年</c:v>
                </c:pt>
                <c:pt idx="6">
                  <c:v>2015年</c:v>
                </c:pt>
                <c:pt idx="7">
                  <c:v>2016年</c:v>
                </c:pt>
                <c:pt idx="8">
                  <c:v>2017年</c:v>
                </c:pt>
                <c:pt idx="9">
                  <c:v>2018年</c:v>
                </c:pt>
              </c:strCache>
            </c:strRef>
          </c:cat>
          <c:val>
            <c:numRef>
              <c:f>Sheet1!$B$2:$B$13</c:f>
              <c:numCache>
                <c:formatCode>General</c:formatCode>
                <c:ptCount val="12"/>
                <c:pt idx="0">
                  <c:v>24</c:v>
                </c:pt>
                <c:pt idx="1">
                  <c:v>44.1</c:v>
                </c:pt>
                <c:pt idx="2">
                  <c:v>85</c:v>
                </c:pt>
                <c:pt idx="3">
                  <c:v>131.3</c:v>
                </c:pt>
                <c:pt idx="4">
                  <c:v>174.8</c:v>
                </c:pt>
                <c:pt idx="5">
                  <c:v>226.3</c:v>
                </c:pt>
                <c:pt idx="6">
                  <c:v>269.1</c:v>
                </c:pt>
                <c:pt idx="7">
                  <c:v>429.8</c:v>
                </c:pt>
                <c:pt idx="8">
                  <c:v>706.1</c:v>
                </c:pt>
                <c:pt idx="9">
                  <c:v>940.5</c:v>
                </c:pt>
              </c:numCache>
            </c:numRef>
          </c:val>
        </c:ser>
        <c:dLbls>
          <c:showLegendKey val="0"/>
          <c:showVal val="0"/>
          <c:showCatName val="0"/>
          <c:showSerName val="0"/>
          <c:showPercent val="0"/>
          <c:showBubbleSize val="0"/>
        </c:dLbls>
        <c:gapWidth val="150"/>
        <c:axId val="264771355"/>
        <c:axId val="514676248"/>
      </c:barChart>
      <c:lineChart>
        <c:grouping val="standard"/>
        <c:varyColors val="0"/>
        <c:ser>
          <c:idx val="1"/>
          <c:order val="1"/>
          <c:tx>
            <c:strRef>
              <c:f>Sheet1!$C$1</c:f>
              <c:strCache>
                <c:ptCount val="1"/>
                <c:pt idx="0">
                  <c:v>增长率</c:v>
                </c:pt>
              </c:strCache>
            </c:strRef>
          </c:tx>
          <c:spPr>
            <a:ln w="28575" cap="rnd">
              <a:solidFill>
                <a:schemeClr val="bg2"/>
              </a:solidFill>
              <a:round/>
            </a:ln>
            <a:effectLst/>
          </c:spPr>
          <c:marker>
            <c:symbol val="circle"/>
            <c:size val="5"/>
            <c:spPr>
              <a:solidFill>
                <a:schemeClr val="accent2"/>
              </a:solidFill>
              <a:ln w="9525">
                <a:solidFill>
                  <a:schemeClr val="bg2"/>
                </a:solidFill>
              </a:ln>
              <a:effectLst/>
            </c:spPr>
          </c:marker>
          <c:dLbls>
            <c:delete val="1"/>
          </c:dLbls>
          <c:cat>
            <c:strRef>
              <c:f>Sheet1!$A$2:$A$12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strCache>
            </c:strRef>
          </c:cat>
          <c:val>
            <c:numRef>
              <c:f>Sheet1!$E$7:$E$16</c:f>
              <c:numCache>
                <c:formatCode>General</c:formatCode>
                <c:ptCount val="10"/>
              </c:numCache>
            </c:numRef>
          </c:val>
          <c:smooth val="0"/>
        </c:ser>
        <c:dLbls>
          <c:showLegendKey val="0"/>
          <c:showVal val="0"/>
          <c:showCatName val="0"/>
          <c:showSerName val="0"/>
          <c:showPercent val="0"/>
          <c:showBubbleSize val="0"/>
        </c:dLbls>
        <c:marker val="1"/>
        <c:smooth val="0"/>
        <c:axId val="264771355"/>
        <c:axId val="514676248"/>
      </c:lineChart>
      <c:catAx>
        <c:axId val="2647713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4676248"/>
        <c:crosses val="autoZero"/>
        <c:auto val="1"/>
        <c:lblAlgn val="ctr"/>
        <c:lblOffset val="100"/>
        <c:noMultiLvlLbl val="0"/>
      </c:catAx>
      <c:valAx>
        <c:axId val="5146762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4771355"/>
        <c:crosses val="autoZero"/>
        <c:crossBetween val="between"/>
      </c:valAx>
      <c:spPr>
        <a:noFill/>
        <a:ln>
          <a:noFill/>
        </a:ln>
        <a:effectLst/>
      </c:spPr>
    </c:plotArea>
    <c:legend>
      <c:legendPos val="t"/>
      <c:legendEntry>
        <c:idx val="1"/>
        <c:delete val="1"/>
      </c:legendEntry>
      <c:layout>
        <c:manualLayout>
          <c:xMode val="edge"/>
          <c:yMode val="edge"/>
          <c:x val="0.289125244193618"/>
          <c:y val="0.107372336827866"/>
          <c:w val="0.368026915563273"/>
          <c:h val="0.056307067974298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2019-04-24T13:15:00Z</dcterms:created>
  <dc:creator>箍儿咒</dc:creator>
  <cp:lastModifiedBy>箍儿咒</cp:lastModifiedBy>
  <dcterms:modified xsi:type="dcterms:W3CDTF">2019-04-28T15:31:13Z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