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8A" w:val="clear"/>
            <w:tcMar>
              <w:top w:type="dxa" w:w="220"/>
              <w:left w:type="dxa" w:w="300"/>
              <w:bottom w:type="dxa" w:w="220"/>
              <w:right w:type="dxa" w:w="300"/>
            </w:tcMar>
          </w:tcPr>
          <w:p>
            <w:pPr>
              <w:jc w:val="center"/>
            </w:pPr>
            <w:r>
              <w:rPr>
                <w:rFonts w:ascii="Arial" w:cs="Arial" w:eastAsia="Arial" w:hAnsi="Arial"/>
                <w:b/>
                <w:bCs/>
                <w:color w:val="FFFFFF"/>
                <w:sz w:val="40"/>
                <w:szCs w:val="40"/>
              </w:rPr>
              <w:t xml:space="preserve">LinguaMentor</w:t>
            </w:r>
          </w:p>
          <w:p>
            <w:pPr>
              <w:spacing w:before="60" w:after="0"/>
              <w:jc w:val="center"/>
            </w:pPr>
            <w:r>
              <w:rPr>
                <w:rFonts w:ascii="Arial" w:cs="Arial" w:eastAsia="Arial" w:hAnsi="Arial"/>
                <w:i/>
                <w:iCs/>
                <w:color w:val="B8D0F0"/>
                <w:sz w:val="22"/>
                <w:szCs w:val="22"/>
              </w:rPr>
              <w:t xml:space="preserve">Phase 0 — Evaluation Calibration Brief</w:t>
            </w:r>
          </w:p>
        </w:tc>
      </w:tr>
    </w:tbl>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Phase 0 Calibration Brief — Operational guide for pre-launch AI scoring validation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Version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v1.0 — Pre-development. Must be executed before any writing evaluation service is user-facing.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Owner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AI/ML Engineer (primary) · Product Lead (Go/No-Go sign-off)</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Classification</w:t>
            </w:r>
          </w:p>
        </w:tc>
        <w:tc>
          <w:tcPr>
            <w:tcW w:type="dxa" w:w="6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Internal — Confidential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2025</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Related document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LinguaMentor Master PRD v2.0 — Section 60 (Phase 0)</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20"/>
              <w:left w:type="dxa" w:w="280"/>
              <w:bottom w:type="dxa" w:w="120"/>
              <w:right w:type="dxa" w:w="200"/>
            </w:tcMar>
          </w:tcPr>
          <w:p>
            <w:r>
              <w:rPr>
                <w:rFonts w:ascii="Arial" w:cs="Arial" w:eastAsia="Arial" w:hAnsi="Arial"/>
                <w:b/>
                <w:bCs/>
                <w:color w:val="922B21"/>
                <w:sz w:val="21"/>
                <w:szCs w:val="21"/>
              </w:rPr>
              <w:t xml:space="preserve">⚠  This phase is non-negotiable. No writing evaluation feature ships to any user — even in private beta — until all Go/No-Go criteria in this brief are satisfied and signed off by the product lead. A partial pass is a no-go.</w:t>
            </w:r>
          </w:p>
        </w:tc>
      </w:tr>
    </w:tbl>
    <w:p>
      <w:pPr>
        <w:spacing w:before="200" w:after="100"/>
      </w:pPr>
    </w:p>
    <w:p>
      <w:pPr>
        <w:pStyle w:val="Heading1"/>
        <w:spacing w:before="320" w:after="160"/>
      </w:pPr>
      <w:r>
        <w:rPr>
          <w:rFonts w:ascii="Arial" w:cs="Arial" w:eastAsia="Arial" w:hAnsi="Arial"/>
          <w:b/>
          <w:bCs/>
          <w:color w:val="1B4F8A"/>
          <w:sz w:val="34"/>
          <w:szCs w:val="34"/>
        </w:rPr>
        <w:t xml:space="preserve">1. Purpose and Objectives</w:t>
      </w:r>
    </w:p>
    <w:p>
      <w:pPr>
        <w:spacing w:before="60" w:after="60"/>
      </w:pPr>
    </w:p>
    <w:p>
      <w:pPr>
        <w:spacing w:before="80" w:after="80"/>
      </w:pPr>
      <w:r>
        <w:rPr>
          <w:rFonts w:ascii="Arial" w:cs="Arial" w:eastAsia="Arial" w:hAnsi="Arial"/>
          <w:b w:val="false"/>
          <w:bCs w:val="false"/>
          <w:i w:val="false"/>
          <w:iCs w:val="false"/>
          <w:color w:val="555555"/>
          <w:sz w:val="22"/>
          <w:szCs w:val="22"/>
        </w:rPr>
        <w:t xml:space="preserve">Phase 0 exists to answer one question before any user ever receives an AI-generated score: does the AI evaluate language with the same accuracy as a certified human examiner? If the answer is no, the product's core value proposition collapses. A learner who receives an inaccurate band score and prepares accordingly is worse off than one who received no score at all.</w:t>
      </w:r>
    </w:p>
    <w:p>
      <w:pPr>
        <w:spacing w:before="80" w:after="60"/>
      </w:pPr>
    </w:p>
    <w:p>
      <w:pPr>
        <w:spacing w:before="80" w:after="80"/>
      </w:pPr>
      <w:r>
        <w:rPr>
          <w:rFonts w:ascii="Arial" w:cs="Arial" w:eastAsia="Arial" w:hAnsi="Arial"/>
          <w:b w:val="false"/>
          <w:bCs w:val="false"/>
          <w:i w:val="false"/>
          <w:iCs w:val="false"/>
          <w:color w:val="555555"/>
          <w:sz w:val="22"/>
          <w:szCs w:val="22"/>
        </w:rPr>
        <w:t xml:space="preserve">The calibration process compares AI-generated scores against grades produced by certified examiners on the same set of essays and speech samples. The Pearson correlation coefficient between the two score sets must reach ≥ 0.85 before the system is considered production-ready.</w:t>
      </w:r>
    </w:p>
    <w:p>
      <w:pPr>
        <w:spacing w:before="80" w:after="60"/>
      </w:pPr>
    </w:p>
    <w:p>
      <w:pPr>
        <w:pStyle w:val="Heading2"/>
        <w:spacing w:before="240" w:after="120"/>
      </w:pPr>
      <w:r>
        <w:rPr>
          <w:rFonts w:ascii="Arial" w:cs="Arial" w:eastAsia="Arial" w:hAnsi="Arial"/>
          <w:b/>
          <w:bCs/>
          <w:color w:val="0D7377"/>
          <w:sz w:val="26"/>
          <w:szCs w:val="26"/>
        </w:rPr>
        <w:t xml:space="preserve">1.1 Phase 0 Objectives</w:t>
      </w:r>
    </w:p>
    <w:p>
      <w:pPr>
        <w:pStyle w:val="ListParagraph"/>
        <w:numPr>
          <w:ilvl w:val="0"/>
          <w:numId w:val="2"/>
        </w:numPr>
        <w:spacing w:before="50" w:after="50"/>
      </w:pPr>
      <w:r>
        <w:rPr>
          <w:rFonts w:ascii="Arial" w:cs="Arial" w:eastAsia="Arial" w:hAnsi="Arial"/>
          <w:b w:val="false"/>
          <w:bCs w:val="false"/>
          <w:color w:val="555555"/>
          <w:sz w:val="21"/>
          <w:szCs w:val="21"/>
        </w:rPr>
        <w:t xml:space="preserve">Collect a representative sample of writing essays and speech samples across all supported exam types and CEFR levels.</w:t>
      </w:r>
    </w:p>
    <w:p>
      <w:pPr>
        <w:pStyle w:val="ListParagraph"/>
        <w:numPr>
          <w:ilvl w:val="0"/>
          <w:numId w:val="2"/>
        </w:numPr>
        <w:spacing w:before="50" w:after="50"/>
      </w:pPr>
      <w:r>
        <w:rPr>
          <w:rFonts w:ascii="Arial" w:cs="Arial" w:eastAsia="Arial" w:hAnsi="Arial"/>
          <w:b w:val="false"/>
          <w:bCs w:val="false"/>
          <w:color w:val="555555"/>
          <w:sz w:val="21"/>
          <w:szCs w:val="21"/>
        </w:rPr>
        <w:t xml:space="preserve">Have certified examiners grade all samples using official exam rubrics.</w:t>
      </w:r>
    </w:p>
    <w:p>
      <w:pPr>
        <w:pStyle w:val="ListParagraph"/>
        <w:numPr>
          <w:ilvl w:val="0"/>
          <w:numId w:val="2"/>
        </w:numPr>
        <w:spacing w:before="50" w:after="50"/>
      </w:pPr>
      <w:r>
        <w:rPr>
          <w:rFonts w:ascii="Arial" w:cs="Arial" w:eastAsia="Arial" w:hAnsi="Arial"/>
          <w:b w:val="false"/>
          <w:bCs w:val="false"/>
          <w:color w:val="555555"/>
          <w:sz w:val="21"/>
          <w:szCs w:val="21"/>
        </w:rPr>
        <w:t xml:space="preserve">Run the LinguaMentor AI evaluation pipeline against the same samples.</w:t>
      </w:r>
    </w:p>
    <w:p>
      <w:pPr>
        <w:pStyle w:val="ListParagraph"/>
        <w:numPr>
          <w:ilvl w:val="0"/>
          <w:numId w:val="2"/>
        </w:numPr>
        <w:spacing w:before="50" w:after="50"/>
      </w:pPr>
      <w:r>
        <w:rPr>
          <w:rFonts w:ascii="Arial" w:cs="Arial" w:eastAsia="Arial" w:hAnsi="Arial"/>
          <w:b w:val="false"/>
          <w:bCs w:val="false"/>
          <w:color w:val="555555"/>
          <w:sz w:val="21"/>
          <w:szCs w:val="21"/>
        </w:rPr>
        <w:t xml:space="preserve">Compute Pearson correlation between AI scores and human scores per rubric category and overall.</w:t>
      </w:r>
    </w:p>
    <w:p>
      <w:pPr>
        <w:pStyle w:val="ListParagraph"/>
        <w:numPr>
          <w:ilvl w:val="0"/>
          <w:numId w:val="2"/>
        </w:numPr>
        <w:spacing w:before="50" w:after="50"/>
      </w:pPr>
      <w:r>
        <w:rPr>
          <w:rFonts w:ascii="Arial" w:cs="Arial" w:eastAsia="Arial" w:hAnsi="Arial"/>
          <w:b w:val="false"/>
          <w:bCs w:val="false"/>
          <w:color w:val="555555"/>
          <w:sz w:val="21"/>
          <w:szCs w:val="21"/>
        </w:rPr>
        <w:t xml:space="preserve">Iterate on rubric prompt engineering until the correlation target is met.</w:t>
      </w:r>
    </w:p>
    <w:p>
      <w:pPr>
        <w:pStyle w:val="ListParagraph"/>
        <w:numPr>
          <w:ilvl w:val="0"/>
          <w:numId w:val="2"/>
        </w:numPr>
        <w:spacing w:before="50" w:after="50"/>
      </w:pPr>
      <w:r>
        <w:rPr>
          <w:rFonts w:ascii="Arial" w:cs="Arial" w:eastAsia="Arial" w:hAnsi="Arial"/>
          <w:b w:val="false"/>
          <w:bCs w:val="false"/>
          <w:color w:val="555555"/>
          <w:sz w:val="21"/>
          <w:szCs w:val="21"/>
        </w:rPr>
        <w:t xml:space="preserve">Store the calibration baseline as an immutable record referenced in all future evaluations.</w:t>
      </w:r>
    </w:p>
    <w:p>
      <w:pPr>
        <w:pStyle w:val="ListParagraph"/>
        <w:numPr>
          <w:ilvl w:val="0"/>
          <w:numId w:val="2"/>
        </w:numPr>
        <w:spacing w:before="50" w:after="50"/>
      </w:pPr>
      <w:r>
        <w:rPr>
          <w:rFonts w:ascii="Arial" w:cs="Arial" w:eastAsia="Arial" w:hAnsi="Arial"/>
          <w:b w:val="false"/>
          <w:bCs w:val="false"/>
          <w:color w:val="555555"/>
          <w:sz w:val="21"/>
          <w:szCs w:val="21"/>
        </w:rPr>
        <w:t xml:space="preserve">Obtain Go/No-Go sign-off from the product lead before beta launch.</w:t>
      </w:r>
    </w:p>
    <w:p>
      <w:pPr>
        <w:spacing w:before="200" w:after="100"/>
      </w:pPr>
    </w:p>
    <w:p>
      <w:pPr>
        <w:pStyle w:val="Heading1"/>
        <w:spacing w:before="320" w:after="160"/>
      </w:pPr>
      <w:r>
        <w:rPr>
          <w:rFonts w:ascii="Arial" w:cs="Arial" w:eastAsia="Arial" w:hAnsi="Arial"/>
          <w:b/>
          <w:bCs/>
          <w:color w:val="1B4F8A"/>
          <w:sz w:val="34"/>
          <w:szCs w:val="34"/>
        </w:rPr>
        <w:t xml:space="preserve">2. Scope — Exam Types and Skills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4"/>
              <w:bottom w:val="none" w:color="FFFFFF" w:sz="0"/>
              <w:right w:val="none" w:color="FFFFFF" w:sz="0"/>
            </w:tcBorders>
            <w:shd w:fill="D0EFEF" w:val="clear"/>
            <w:tcMar>
              <w:top w:type="dxa" w:w="120"/>
              <w:left w:type="dxa" w:w="280"/>
              <w:bottom w:type="dxa" w:w="120"/>
              <w:right w:type="dxa" w:w="200"/>
            </w:tcMar>
          </w:tcPr>
          <w:p>
            <w:r>
              <w:rPr>
                <w:rFonts w:ascii="Arial" w:cs="Arial" w:eastAsia="Arial" w:hAnsi="Arial"/>
                <w:i/>
                <w:iCs/>
                <w:color w:val="2C3E50"/>
                <w:sz w:val="21"/>
                <w:szCs w:val="21"/>
              </w:rPr>
              <w:t xml:space="preserve">Phase 0 covers writing evaluation and speaking (pronunciation) evaluation separately. Reading and Listening are estimated by formula in the MVP and do not require calibration in Phase 0.</w:t>
            </w:r>
          </w:p>
        </w:tc>
      </w:tr>
    </w:tbl>
    <w:p>
      <w:pPr>
        <w:spacing w:before="80" w:after="60"/>
      </w:pPr>
    </w:p>
    <w:p>
      <w:pPr>
        <w:pStyle w:val="Heading2"/>
        <w:spacing w:before="240" w:after="120"/>
      </w:pPr>
      <w:r>
        <w:rPr>
          <w:rFonts w:ascii="Arial" w:cs="Arial" w:eastAsia="Arial" w:hAnsi="Arial"/>
          <w:b/>
          <w:bCs/>
          <w:color w:val="0D7377"/>
          <w:sz w:val="26"/>
          <w:szCs w:val="26"/>
        </w:rPr>
        <w:t xml:space="preserve">2.1 Writing Calibration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Exam</w:t>
            </w:r>
          </w:p>
        </w:tc>
        <w:tc>
          <w:tcPr>
            <w:tcW w:type="dxa" w:w="26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Task Type</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Sample Requirement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IELTS Academic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Task 2 (essay)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80 essays · CEFR B1–C1 range · 4 band levels represented</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IELTS General</w:t>
            </w:r>
          </w:p>
        </w:tc>
        <w:tc>
          <w:tcPr>
            <w:tcW w:type="dxa" w:w="26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Task 2 (letter + essay)</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50 essays · Band 5.0–8.0 range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TOEFL iBT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Integrated + Independent Writing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80 essays · Score range 14–30</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DELF B2</w:t>
            </w:r>
          </w:p>
        </w:tc>
        <w:tc>
          <w:tcPr>
            <w:tcW w:type="dxa" w:w="26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Production Ecrite</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50 essays · CEFR B1–C1 range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TCF Canada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Expression Ecrite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40 essays · French writing calibration</w:t>
            </w:r>
          </w:p>
        </w:tc>
      </w:tr>
    </w:tbl>
    <w:p>
      <w:pPr>
        <w:spacing w:before="80" w:after="60"/>
      </w:pPr>
    </w:p>
    <w:p>
      <w:pPr>
        <w:pStyle w:val="Heading2"/>
        <w:spacing w:before="240" w:after="120"/>
      </w:pPr>
      <w:r>
        <w:rPr>
          <w:rFonts w:ascii="Arial" w:cs="Arial" w:eastAsia="Arial" w:hAnsi="Arial"/>
          <w:b/>
          <w:bCs/>
          <w:color w:val="0D7377"/>
          <w:sz w:val="26"/>
          <w:szCs w:val="26"/>
        </w:rPr>
        <w:t xml:space="preserve">2.2 Speaking / Pronunciation Calibration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Accent Target</w:t>
            </w:r>
          </w:p>
        </w:tc>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Sample Requirement</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Composition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en-US (American English)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50 speech samples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Native + non-native speakers at B1–C1 CEFR</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en-UK (British English)</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50 speech samples</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Native + non-native speakers at B1–C1 CEFR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fr-FR (Metropolitan French)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50 speech samples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Native + non-native speakers at B1–C2 CEFR</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fr-CA (Canadian French)</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50 speech samples</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Focus on TCF Canada candidates, B1–C1 CEFR</w:t>
            </w:r>
          </w:p>
        </w:tc>
      </w:tr>
    </w:tbl>
    <w:p>
      <w:pPr>
        <w:spacing w:before="200" w:after="100"/>
      </w:pPr>
    </w:p>
    <w:p>
      <w:pPr>
        <w:pStyle w:val="Heading1"/>
        <w:spacing w:before="320" w:after="160"/>
      </w:pPr>
      <w:r>
        <w:rPr>
          <w:rFonts w:ascii="Arial" w:cs="Arial" w:eastAsia="Arial" w:hAnsi="Arial"/>
          <w:b/>
          <w:bCs/>
          <w:color w:val="1B4F8A"/>
          <w:sz w:val="34"/>
          <w:szCs w:val="34"/>
        </w:rPr>
        <w:t xml:space="preserve">3. Examiner Recruitment and Requirements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20"/>
              <w:left w:type="dxa" w:w="280"/>
              <w:bottom w:type="dxa" w:w="120"/>
              <w:right w:type="dxa" w:w="200"/>
            </w:tcMar>
          </w:tcPr>
          <w:p>
            <w:r>
              <w:rPr>
                <w:rFonts w:ascii="Arial" w:cs="Arial" w:eastAsia="Arial" w:hAnsi="Arial"/>
                <w:b/>
                <w:bCs/>
                <w:color w:val="922B21"/>
                <w:sz w:val="21"/>
                <w:szCs w:val="21"/>
              </w:rPr>
              <w:t xml:space="preserve">⚠  All human graders must hold active certification for the exam type they grade. Grades from uncertified graders will invalidate the calibration dataset and require a full rerun.</w:t>
            </w:r>
          </w:p>
        </w:tc>
      </w:tr>
    </w:tbl>
    <w:p>
      <w:pPr>
        <w:spacing w:before="80" w:after="60"/>
      </w:pPr>
    </w:p>
    <w:p>
      <w:pPr>
        <w:pStyle w:val="Heading2"/>
        <w:spacing w:before="240" w:after="120"/>
      </w:pPr>
      <w:r>
        <w:rPr>
          <w:rFonts w:ascii="Arial" w:cs="Arial" w:eastAsia="Arial" w:hAnsi="Arial"/>
          <w:b/>
          <w:bCs/>
          <w:color w:val="0D7377"/>
          <w:sz w:val="26"/>
          <w:szCs w:val="26"/>
        </w:rPr>
        <w:t xml:space="preserve">3.1 Examiner Qualifications by Exam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Exam Type</w:t>
            </w:r>
          </w:p>
        </w:tc>
        <w:tc>
          <w:tcPr>
            <w:tcW w:type="dxa" w:w="3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Required Credential</w:t>
            </w:r>
          </w:p>
        </w:tc>
        <w:tc>
          <w:tcPr>
            <w:tcW w:type="dxa" w:w="37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Verification Step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IELTS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IELTS Examiner Certificate (British Council / IDP certified)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Active certification — check expiry date before contracting</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TOEFL</w:t>
            </w:r>
          </w:p>
        </w:tc>
        <w:tc>
          <w:tcPr>
            <w:tcW w:type="dxa" w:w="3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ETS-trained TOEFL scoring experience</w:t>
            </w:r>
          </w:p>
        </w:tc>
        <w:tc>
          <w:tcPr>
            <w:tcW w:type="dxa" w:w="37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Minimum 2 years scoring experience, references required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DELF/TCF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CIEP-accredited examiner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Active DELF/TCF examiner status, francophone native or C2 proficiency</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Accent Rating (voice)</w:t>
            </w:r>
          </w:p>
        </w:tc>
        <w:tc>
          <w:tcPr>
            <w:tcW w:type="dxa" w:w="3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Native speaker or C2 proficiency in target accent</w:t>
            </w:r>
          </w:p>
        </w:tc>
        <w:tc>
          <w:tcPr>
            <w:tcW w:type="dxa" w:w="37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Recruited per accent — en-US, en-UK, fr-FR, fr-CA separately</w:t>
            </w:r>
          </w:p>
        </w:tc>
      </w:tr>
    </w:tbl>
    <w:p>
      <w:pPr>
        <w:spacing w:before="80" w:after="60"/>
      </w:pPr>
    </w:p>
    <w:p>
      <w:pPr>
        <w:pStyle w:val="Heading2"/>
        <w:spacing w:before="240" w:after="120"/>
      </w:pPr>
      <w:r>
        <w:rPr>
          <w:rFonts w:ascii="Arial" w:cs="Arial" w:eastAsia="Arial" w:hAnsi="Arial"/>
          <w:b/>
          <w:bCs/>
          <w:color w:val="0D7377"/>
          <w:sz w:val="26"/>
          <w:szCs w:val="26"/>
        </w:rPr>
        <w:t xml:space="preserve">3.2 Examiner Count and Redundancy</w:t>
      </w:r>
    </w:p>
    <w:p>
      <w:pPr>
        <w:spacing w:before="80" w:after="80"/>
      </w:pPr>
      <w:r>
        <w:rPr>
          <w:rFonts w:ascii="Arial" w:cs="Arial" w:eastAsia="Arial" w:hAnsi="Arial"/>
          <w:b w:val="false"/>
          <w:bCs w:val="false"/>
          <w:i w:val="false"/>
          <w:iCs w:val="false"/>
          <w:color w:val="555555"/>
          <w:sz w:val="22"/>
          <w:szCs w:val="22"/>
        </w:rPr>
        <w:t xml:space="preserve">Every essay must be graded by a minimum of two independent examiners. Inter-rater reliability (Cohen's Kappa or Pearson) between the two human graders must be ≥ 0.80 before the essay enters the calibration dataset. If two graders disagree by more than one full band, a third adjudicating examiner resolves the discrepancy.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Aspect</w:t>
            </w:r>
          </w:p>
        </w:tc>
        <w:tc>
          <w:tcPr>
            <w:tcW w:type="dxa" w:w="656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Minimum examiners per exam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2 primary + 1 adjudicator on standby. IELTS may require 3 primary examiners for volume.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Grading timeline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Each examiner grades a maximum of 20 essays per day to maintain quality. Allow 5–7 working days per exam type for full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Compensation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Per-essay rate agreed in advance. Typical market rate: $8–$15 per essay. Voice samples: $5–$10 per sample. All rates via contract before grading begins.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Confidentiality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All examiners sign an NDA covering essay content, AI scoring methodology, and correlation results before receiving any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Payment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50% upfront, 50% on delivery of graded samples with inter-rater reliability confirmed.</w:t>
            </w:r>
          </w:p>
        </w:tc>
      </w:tr>
    </w:tbl>
    <w:p>
      <w:pPr>
        <w:spacing w:before="200" w:after="100"/>
      </w:pPr>
    </w:p>
    <w:p>
      <w:pPr>
        <w:pStyle w:val="Heading1"/>
        <w:spacing w:before="320" w:after="160"/>
      </w:pPr>
      <w:r>
        <w:rPr>
          <w:rFonts w:ascii="Arial" w:cs="Arial" w:eastAsia="Arial" w:hAnsi="Arial"/>
          <w:b/>
          <w:bCs/>
          <w:color w:val="1B4F8A"/>
          <w:sz w:val="34"/>
          <w:szCs w:val="34"/>
        </w:rPr>
        <w:t xml:space="preserve">4. Essay and Sample Collection Protocol</w:t>
      </w:r>
    </w:p>
    <w:p>
      <w:pPr>
        <w:spacing w:before="60" w:after="60"/>
      </w:pPr>
    </w:p>
    <w:p>
      <w:pPr>
        <w:pStyle w:val="Heading2"/>
        <w:spacing w:before="240" w:after="120"/>
      </w:pPr>
      <w:r>
        <w:rPr>
          <w:rFonts w:ascii="Arial" w:cs="Arial" w:eastAsia="Arial" w:hAnsi="Arial"/>
          <w:b/>
          <w:bCs/>
          <w:color w:val="0D7377"/>
          <w:sz w:val="26"/>
          <w:szCs w:val="26"/>
        </w:rPr>
        <w:t xml:space="preserve">4.1 Writing Sample Collection</w:t>
      </w:r>
    </w:p>
    <w:p>
      <w:pPr>
        <w:spacing w:before="80" w:after="80"/>
      </w:pPr>
      <w:r>
        <w:rPr>
          <w:rFonts w:ascii="Arial" w:cs="Arial" w:eastAsia="Arial" w:hAnsi="Arial"/>
          <w:b w:val="false"/>
          <w:bCs w:val="false"/>
          <w:i w:val="false"/>
          <w:iCs w:val="false"/>
          <w:color w:val="555555"/>
          <w:sz w:val="22"/>
          <w:szCs w:val="22"/>
        </w:rPr>
        <w:t xml:space="preserve">Essays must represent the full range of band scores the system will encounter. A dataset skewed toward high-performing writers will produce overconfident AI scores for weaker writers. Target the following distribution:</w:t>
      </w:r>
    </w:p>
    <w:p>
      <w:pPr>
        <w:spacing w:before="6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Band Level</w:t>
            </w:r>
          </w:p>
        </w:tc>
        <w:tc>
          <w:tcPr>
            <w:tcW w:type="dxa" w:w="20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Target Proportion</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Characteristics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Band 5.0–5.5 / CEFR B1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25% of samples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Weak cohesion, limited range, frequent errors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Band 6.0–6.5 / CEFR B2</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35% of samples</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Adequate but imprecise, some errors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Band 7.0–7.5 / CEFR C1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30% of samples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Good range, occasional errors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Band 8.0–9.0 / CEFR C1+</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10% of samples</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Near-native, sophisticated range</w:t>
            </w:r>
          </w:p>
        </w:tc>
      </w:tr>
    </w:tbl>
    <w:p>
      <w:pPr>
        <w:spacing w:before="80" w:after="60"/>
      </w:pPr>
    </w:p>
    <w:p>
      <w:pPr>
        <w:pStyle w:val="Heading2"/>
        <w:spacing w:before="240" w:after="120"/>
      </w:pPr>
      <w:r>
        <w:rPr>
          <w:rFonts w:ascii="Arial" w:cs="Arial" w:eastAsia="Arial" w:hAnsi="Arial"/>
          <w:b/>
          <w:bCs/>
          <w:color w:val="0D7377"/>
          <w:sz w:val="26"/>
          <w:szCs w:val="26"/>
        </w:rPr>
        <w:t xml:space="preserve">4.2 Sources for Writing Samples</w:t>
      </w:r>
    </w:p>
    <w:p>
      <w:pPr>
        <w:pStyle w:val="ListParagraph"/>
        <w:numPr>
          <w:ilvl w:val="0"/>
          <w:numId w:val="2"/>
        </w:numPr>
        <w:spacing w:before="50" w:after="50"/>
      </w:pPr>
      <w:r>
        <w:rPr>
          <w:rFonts w:ascii="Arial" w:cs="Arial" w:eastAsia="Arial" w:hAnsi="Arial"/>
          <w:b w:val="false"/>
          <w:bCs w:val="false"/>
          <w:color w:val="555555"/>
          <w:sz w:val="21"/>
          <w:szCs w:val="21"/>
        </w:rPr>
        <w:t xml:space="preserve">Publicly available IELTS and TOEFL essay repositories (academic research datasets with license confirmation).</w:t>
      </w:r>
    </w:p>
    <w:p>
      <w:pPr>
        <w:pStyle w:val="ListParagraph"/>
        <w:numPr>
          <w:ilvl w:val="0"/>
          <w:numId w:val="2"/>
        </w:numPr>
        <w:spacing w:before="50" w:after="50"/>
      </w:pPr>
      <w:r>
        <w:rPr>
          <w:rFonts w:ascii="Arial" w:cs="Arial" w:eastAsia="Arial" w:hAnsi="Arial"/>
          <w:b w:val="false"/>
          <w:bCs w:val="false"/>
          <w:color w:val="555555"/>
          <w:sz w:val="21"/>
          <w:szCs w:val="21"/>
        </w:rPr>
        <w:t xml:space="preserve">Partner language schools and exam preparation centres — anonymised student essays with written consent.</w:t>
      </w:r>
    </w:p>
    <w:p>
      <w:pPr>
        <w:pStyle w:val="ListParagraph"/>
        <w:numPr>
          <w:ilvl w:val="0"/>
          <w:numId w:val="2"/>
        </w:numPr>
        <w:spacing w:before="50" w:after="50"/>
      </w:pPr>
      <w:r>
        <w:rPr>
          <w:rFonts w:ascii="Arial" w:cs="Arial" w:eastAsia="Arial" w:hAnsi="Arial"/>
          <w:b w:val="false"/>
          <w:bCs w:val="false"/>
          <w:color w:val="555555"/>
          <w:sz w:val="21"/>
          <w:szCs w:val="21"/>
        </w:rPr>
        <w:t xml:space="preserve">Commissioned essays: engage a pool of writers at each band level to produce task-specific essays for target prompts.</w:t>
      </w:r>
    </w:p>
    <w:p>
      <w:pPr>
        <w:pStyle w:val="ListParagraph"/>
        <w:numPr>
          <w:ilvl w:val="0"/>
          <w:numId w:val="2"/>
        </w:numPr>
        <w:spacing w:before="50" w:after="50"/>
      </w:pPr>
      <w:r>
        <w:rPr>
          <w:rFonts w:ascii="Arial" w:cs="Arial" w:eastAsia="Arial" w:hAnsi="Arial"/>
          <w:b w:val="false"/>
          <w:bCs w:val="false"/>
          <w:color w:val="555555"/>
          <w:sz w:val="21"/>
          <w:szCs w:val="21"/>
        </w:rPr>
        <w:t xml:space="preserve">Examiner-generated model essays at various band levels for edge-case calibration.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20"/>
              <w:left w:type="dxa" w:w="280"/>
              <w:bottom w:type="dxa" w:w="120"/>
              <w:right w:type="dxa" w:w="200"/>
            </w:tcMar>
          </w:tcPr>
          <w:p>
            <w:r>
              <w:rPr>
                <w:rFonts w:ascii="Arial" w:cs="Arial" w:eastAsia="Arial" w:hAnsi="Arial"/>
                <w:b/>
                <w:bCs/>
                <w:color w:val="922B21"/>
                <w:sz w:val="21"/>
                <w:szCs w:val="21"/>
              </w:rPr>
              <w:t xml:space="preserve">⚠  All collected essays must be anonymised before being shared with examiners or entered into the AI scoring pipeline. Remove name, nationality, and any identifying information. Store original metadata securely, separate from the grading dataset.</w:t>
            </w:r>
          </w:p>
        </w:tc>
      </w:tr>
    </w:tbl>
    <w:p>
      <w:pPr>
        <w:spacing w:before="80" w:after="60"/>
      </w:pPr>
    </w:p>
    <w:p>
      <w:pPr>
        <w:pStyle w:val="Heading2"/>
        <w:spacing w:before="240" w:after="120"/>
      </w:pPr>
      <w:r>
        <w:rPr>
          <w:rFonts w:ascii="Arial" w:cs="Arial" w:eastAsia="Arial" w:hAnsi="Arial"/>
          <w:b/>
          <w:bCs/>
          <w:color w:val="0D7377"/>
          <w:sz w:val="26"/>
          <w:szCs w:val="26"/>
        </w:rPr>
        <w:t xml:space="preserve">4.3 Speech Sample Collection</w:t>
      </w:r>
    </w:p>
    <w:p>
      <w:pPr>
        <w:spacing w:before="80" w:after="80"/>
      </w:pPr>
      <w:r>
        <w:rPr>
          <w:rFonts w:ascii="Arial" w:cs="Arial" w:eastAsia="Arial" w:hAnsi="Arial"/>
          <w:b w:val="false"/>
          <w:bCs w:val="false"/>
          <w:i w:val="false"/>
          <w:iCs w:val="false"/>
          <w:color w:val="555555"/>
          <w:sz w:val="22"/>
          <w:szCs w:val="22"/>
        </w:rPr>
        <w:t xml:space="preserve">Speech samples must be recorded in controlled conditions that approximate real speaking test environments — no background noise, consistent microphone quality. Samples should represent:</w:t>
      </w:r>
    </w:p>
    <w:p>
      <w:pPr>
        <w:spacing w:before="60" w:after="50"/>
      </w:pPr>
    </w:p>
    <w:p>
      <w:pPr>
        <w:pStyle w:val="ListParagraph"/>
        <w:numPr>
          <w:ilvl w:val="0"/>
          <w:numId w:val="2"/>
        </w:numPr>
        <w:spacing w:before="50" w:after="50"/>
      </w:pPr>
      <w:r>
        <w:rPr>
          <w:rFonts w:ascii="Arial" w:cs="Arial" w:eastAsia="Arial" w:hAnsi="Arial"/>
          <w:b w:val="false"/>
          <w:bCs w:val="false"/>
          <w:color w:val="555555"/>
          <w:sz w:val="21"/>
          <w:szCs w:val="21"/>
        </w:rPr>
        <w:t xml:space="preserve">Native speakers of each target accent at various fluency registers.</w:t>
      </w:r>
    </w:p>
    <w:p>
      <w:pPr>
        <w:pStyle w:val="ListParagraph"/>
        <w:numPr>
          <w:ilvl w:val="0"/>
          <w:numId w:val="2"/>
        </w:numPr>
        <w:spacing w:before="50" w:after="50"/>
      </w:pPr>
      <w:r>
        <w:rPr>
          <w:rFonts w:ascii="Arial" w:cs="Arial" w:eastAsia="Arial" w:hAnsi="Arial"/>
          <w:b w:val="false"/>
          <w:bCs w:val="false"/>
          <w:color w:val="555555"/>
          <w:sz w:val="21"/>
          <w:szCs w:val="21"/>
        </w:rPr>
        <w:t xml:space="preserve">Non-native speakers with the target accent as their exam target (the most common use case).</w:t>
      </w:r>
    </w:p>
    <w:p>
      <w:pPr>
        <w:pStyle w:val="ListParagraph"/>
        <w:numPr>
          <w:ilvl w:val="0"/>
          <w:numId w:val="2"/>
        </w:numPr>
        <w:spacing w:before="50" w:after="50"/>
      </w:pPr>
      <w:r>
        <w:rPr>
          <w:rFonts w:ascii="Arial" w:cs="Arial" w:eastAsia="Arial" w:hAnsi="Arial"/>
          <w:b w:val="false"/>
          <w:bCs w:val="false"/>
          <w:color w:val="555555"/>
          <w:sz w:val="21"/>
          <w:szCs w:val="21"/>
        </w:rPr>
        <w:t xml:space="preserve">A range of speech topics: personal narrative, opinion, description, abstract discussion — matching actual exam speaking tasks.</w:t>
      </w:r>
    </w:p>
    <w:p>
      <w:pPr>
        <w:pStyle w:val="ListParagraph"/>
        <w:numPr>
          <w:ilvl w:val="0"/>
          <w:numId w:val="2"/>
        </w:numPr>
        <w:spacing w:before="50" w:after="50"/>
      </w:pPr>
      <w:r>
        <w:rPr>
          <w:rFonts w:ascii="Arial" w:cs="Arial" w:eastAsia="Arial" w:hAnsi="Arial"/>
          <w:b w:val="false"/>
          <w:bCs w:val="false"/>
          <w:color w:val="555555"/>
          <w:sz w:val="21"/>
          <w:szCs w:val="21"/>
        </w:rPr>
        <w:t xml:space="preserve">Duration: 1–3 minutes per sample to capture sufficient phoneme variety for WER analysis.</w:t>
      </w:r>
    </w:p>
    <w:p>
      <w:pPr>
        <w:spacing w:before="200" w:after="100"/>
      </w:pPr>
    </w:p>
    <w:p>
      <w:pPr>
        <w:pStyle w:val="Heading1"/>
        <w:spacing w:before="320" w:after="160"/>
      </w:pPr>
      <w:r>
        <w:rPr>
          <w:rFonts w:ascii="Arial" w:cs="Arial" w:eastAsia="Arial" w:hAnsi="Arial"/>
          <w:b/>
          <w:bCs/>
          <w:color w:val="1B4F8A"/>
          <w:sz w:val="34"/>
          <w:szCs w:val="34"/>
        </w:rPr>
        <w:t xml:space="preserve">5. Rubric Structure and AI Scoring Pipeline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4"/>
              <w:bottom w:val="none" w:color="FFFFFF" w:sz="0"/>
              <w:right w:val="none" w:color="FFFFFF" w:sz="0"/>
            </w:tcBorders>
            <w:shd w:fill="D0EFEF" w:val="clear"/>
            <w:tcMar>
              <w:top w:type="dxa" w:w="120"/>
              <w:left w:type="dxa" w:w="280"/>
              <w:bottom w:type="dxa" w:w="120"/>
              <w:right w:type="dxa" w:w="200"/>
            </w:tcMar>
          </w:tcPr>
          <w:p>
            <w:r>
              <w:rPr>
                <w:rFonts w:ascii="Arial" w:cs="Arial" w:eastAsia="Arial" w:hAnsi="Arial"/>
                <w:i/>
                <w:iCs/>
                <w:color w:val="2C3E50"/>
                <w:sz w:val="21"/>
                <w:szCs w:val="21"/>
              </w:rPr>
              <w:t xml:space="preserve">The AI scoring pipeline must use the official rubric categories for each exam type. Generic LLM scoring without explicit rubric injection will not produce calibrated results.</w:t>
            </w:r>
          </w:p>
        </w:tc>
      </w:tr>
    </w:tbl>
    <w:p>
      <w:pPr>
        <w:spacing w:before="80" w:after="60"/>
      </w:pPr>
    </w:p>
    <w:p>
      <w:pPr>
        <w:pStyle w:val="Heading2"/>
        <w:spacing w:before="240" w:after="120"/>
      </w:pPr>
      <w:r>
        <w:rPr>
          <w:rFonts w:ascii="Arial" w:cs="Arial" w:eastAsia="Arial" w:hAnsi="Arial"/>
          <w:b/>
          <w:bCs/>
          <w:color w:val="0D7377"/>
          <w:sz w:val="26"/>
          <w:szCs w:val="26"/>
        </w:rPr>
        <w:t xml:space="preserve">5.1 IELTS Task 2 Writing Rubric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Category</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Description</w:t>
            </w:r>
          </w:p>
        </w:tc>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Task Achievement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Does the essay fully address all parts of the task? Are ideas relevant, clear, and well-supported?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25% of band score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Coherence and Cohesion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Is the essay logically organised? Are cohesive devices used appropriately and not mechanically?</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25% of band score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Lexical Resource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Is there variety and precision in vocabulary? Are errors in word choice or spelling present?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25% of band score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Grammatical Range &amp; Accuracy</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Is there a range of complex structures? Are errors frequent or serious enough to impede communication?</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25% of band score</w:t>
            </w:r>
          </w:p>
        </w:tc>
      </w:tr>
    </w:tbl>
    <w:p>
      <w:pPr>
        <w:spacing w:before="80" w:after="60"/>
      </w:pPr>
    </w:p>
    <w:p>
      <w:pPr>
        <w:pStyle w:val="Heading2"/>
        <w:spacing w:before="240" w:after="120"/>
      </w:pPr>
      <w:r>
        <w:rPr>
          <w:rFonts w:ascii="Arial" w:cs="Arial" w:eastAsia="Arial" w:hAnsi="Arial"/>
          <w:b/>
          <w:bCs/>
          <w:color w:val="0D7377"/>
          <w:sz w:val="26"/>
          <w:szCs w:val="26"/>
        </w:rPr>
        <w:t xml:space="preserve">5.2 TOEFL Writing Rubric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Category</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Description</w:t>
            </w:r>
          </w:p>
        </w:tc>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Development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Quality of ideas, depth of argument, relevance of supporting detail.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33% of score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Organization</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Logical structure, paragraph development, transitional coherence.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33% of score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Language Use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Range and accuracy of vocabulary and grammar. Variety of sentence structures.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33% of score</w:t>
            </w:r>
          </w:p>
        </w:tc>
      </w:tr>
    </w:tbl>
    <w:p>
      <w:pPr>
        <w:spacing w:before="80" w:after="60"/>
      </w:pPr>
    </w:p>
    <w:p>
      <w:pPr>
        <w:pStyle w:val="Heading2"/>
        <w:spacing w:before="240" w:after="120"/>
      </w:pPr>
      <w:r>
        <w:rPr>
          <w:rFonts w:ascii="Arial" w:cs="Arial" w:eastAsia="Arial" w:hAnsi="Arial"/>
          <w:b/>
          <w:bCs/>
          <w:color w:val="0D7377"/>
          <w:sz w:val="26"/>
          <w:szCs w:val="26"/>
        </w:rPr>
        <w:t xml:space="preserve">5.3 Rubric Injection Layer</w:t>
      </w:r>
    </w:p>
    <w:p>
      <w:pPr>
        <w:spacing w:before="80" w:after="80"/>
      </w:pPr>
      <w:r>
        <w:rPr>
          <w:rFonts w:ascii="Arial" w:cs="Arial" w:eastAsia="Arial" w:hAnsi="Arial"/>
          <w:b w:val="false"/>
          <w:bCs w:val="false"/>
          <w:i w:val="false"/>
          <w:iCs w:val="false"/>
          <w:color w:val="555555"/>
          <w:sz w:val="22"/>
          <w:szCs w:val="22"/>
        </w:rPr>
        <w:t xml:space="preserve">Each rubric category is injected into the LLM evaluation prompt as a structured descriptor layer. The prompt includes: the rubric category name, descriptor language at each band level (copied from official examiner notes), example anchors at Band 5, 6, 7, and 8, and the instruction to score on a 0–9 scale in 0.5 increments.</w:t>
      </w:r>
    </w:p>
    <w:p>
      <w:pPr>
        <w:spacing w:before="80" w:after="60"/>
      </w:pPr>
    </w:p>
    <w:p>
      <w:pPr>
        <w:spacing w:before="80" w:after="80"/>
      </w:pPr>
      <w:r>
        <w:rPr>
          <w:rFonts w:ascii="Arial" w:cs="Arial" w:eastAsia="Arial" w:hAnsi="Arial"/>
          <w:b w:val="false"/>
          <w:bCs w:val="false"/>
          <w:i w:val="false"/>
          <w:iCs w:val="false"/>
          <w:color w:val="555555"/>
          <w:sz w:val="22"/>
          <w:szCs w:val="22"/>
        </w:rPr>
        <w:t xml:space="preserve">The output format is enforced as a JSON object with one key per rubric category and an overall_band key. Schema validation is applied to every response — malformed outputs are retried with a correction instruction before being flagged for manual review.</w:t>
      </w:r>
    </w:p>
    <w:p>
      <w:pPr>
        <w:spacing w:before="200" w:after="100"/>
      </w:pPr>
    </w:p>
    <w:p>
      <w:pPr>
        <w:pStyle w:val="Heading1"/>
        <w:spacing w:before="320" w:after="160"/>
      </w:pPr>
      <w:r>
        <w:rPr>
          <w:rFonts w:ascii="Arial" w:cs="Arial" w:eastAsia="Arial" w:hAnsi="Arial"/>
          <w:b/>
          <w:bCs/>
          <w:color w:val="1B4F8A"/>
          <w:sz w:val="34"/>
          <w:szCs w:val="34"/>
        </w:rPr>
        <w:t xml:space="preserve">6. Correlation Analysis Protocol</w:t>
      </w:r>
    </w:p>
    <w:p>
      <w:pPr>
        <w:spacing w:before="60" w:after="60"/>
      </w:pPr>
    </w:p>
    <w:p>
      <w:pPr>
        <w:pStyle w:val="Heading2"/>
        <w:spacing w:before="240" w:after="120"/>
      </w:pPr>
      <w:r>
        <w:rPr>
          <w:rFonts w:ascii="Arial" w:cs="Arial" w:eastAsia="Arial" w:hAnsi="Arial"/>
          <w:b/>
          <w:bCs/>
          <w:color w:val="0D7377"/>
          <w:sz w:val="26"/>
          <w:szCs w:val="26"/>
        </w:rPr>
        <w:t xml:space="preserve">6.1 Computing Pearson Correlation</w:t>
      </w:r>
    </w:p>
    <w:p>
      <w:pPr>
        <w:spacing w:before="80" w:after="80"/>
      </w:pPr>
      <w:r>
        <w:rPr>
          <w:rFonts w:ascii="Arial" w:cs="Arial" w:eastAsia="Arial" w:hAnsi="Arial"/>
          <w:b w:val="false"/>
          <w:bCs w:val="false"/>
          <w:i w:val="false"/>
          <w:iCs w:val="false"/>
          <w:color w:val="555555"/>
          <w:sz w:val="22"/>
          <w:szCs w:val="22"/>
        </w:rPr>
        <w:t xml:space="preserve">For each essay in the dataset, two scores exist: the human examiner consensus score (average of two graders where they agree within 0.5 bands) and the AI-generated score. Pearson correlation is computed separately for each rubric category and overall. The target is:</w:t>
      </w:r>
    </w:p>
    <w:p>
      <w:pPr>
        <w:spacing w:before="6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Metric</w:t>
            </w:r>
          </w:p>
        </w:tc>
        <w:tc>
          <w:tcPr>
            <w:tcW w:type="dxa" w:w="2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Target</w:t>
            </w:r>
          </w:p>
        </w:tc>
        <w:tc>
          <w:tcPr>
            <w:tcW w:type="dxa" w:w="45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Gate Type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Overall band score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 0.85</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Hard gate — must pass before launch</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Each individual rubric category</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 0.80</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Soft gate — categories below 0.80 flagged for rubric tuning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Inter-rater reliability (human–human)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 0.80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Dataset validity gate — essays below this excluded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Voice WER per accent target</w:t>
            </w:r>
          </w:p>
        </w:tc>
        <w:tc>
          <w:tcPr>
            <w:tcW w:type="dxa" w:w="2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&lt; 10%</w:t>
            </w:r>
          </w:p>
        </w:tc>
        <w:tc>
          <w:tcPr>
            <w:tcW w:type="dxa" w:w="45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Hard gate — all four accent targets must individually pass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Accent score bias (human vs AI delta)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&lt; 0.2 bands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Fairness gate — no systematic accent bias permitted</w:t>
            </w:r>
          </w:p>
        </w:tc>
      </w:tr>
    </w:tbl>
    <w:p>
      <w:pPr>
        <w:spacing w:before="80" w:after="60"/>
      </w:pPr>
    </w:p>
    <w:p>
      <w:pPr>
        <w:pStyle w:val="Heading2"/>
        <w:spacing w:before="240" w:after="120"/>
      </w:pPr>
      <w:r>
        <w:rPr>
          <w:rFonts w:ascii="Arial" w:cs="Arial" w:eastAsia="Arial" w:hAnsi="Arial"/>
          <w:b/>
          <w:bCs/>
          <w:color w:val="0D7377"/>
          <w:sz w:val="26"/>
          <w:szCs w:val="26"/>
        </w:rPr>
        <w:t xml:space="preserve">6.2 Iteration Protocol — Rubric Tuning</w:t>
      </w:r>
    </w:p>
    <w:p>
      <w:pPr>
        <w:spacing w:before="80" w:after="80"/>
      </w:pPr>
      <w:r>
        <w:rPr>
          <w:rFonts w:ascii="Arial" w:cs="Arial" w:eastAsia="Arial" w:hAnsi="Arial"/>
          <w:b w:val="false"/>
          <w:bCs w:val="false"/>
          <w:i w:val="false"/>
          <w:iCs w:val="false"/>
          <w:color w:val="555555"/>
          <w:sz w:val="22"/>
          <w:szCs w:val="22"/>
        </w:rPr>
        <w:t xml:space="preserve">If the initial correlation run does not meet the 0.85 threshold, the following tuning sequence is followed:</w:t>
      </w:r>
    </w:p>
    <w:p>
      <w:pPr>
        <w:spacing w:before="60" w:after="50"/>
      </w:pPr>
    </w:p>
    <w:p>
      <w:pPr>
        <w:pStyle w:val="ListParagraph"/>
        <w:numPr>
          <w:ilvl w:val="0"/>
          <w:numId w:val="3"/>
        </w:numPr>
        <w:spacing w:before="50" w:after="50"/>
      </w:pPr>
      <w:r>
        <w:rPr>
          <w:rFonts w:ascii="Arial" w:cs="Arial" w:eastAsia="Arial" w:hAnsi="Arial"/>
          <w:color w:val="555555"/>
          <w:sz w:val="21"/>
          <w:szCs w:val="21"/>
        </w:rPr>
        <w:t xml:space="preserve">Identify which rubric category has the lowest correlation — this is the root cause.</w:t>
      </w:r>
    </w:p>
    <w:p>
      <w:pPr>
        <w:pStyle w:val="ListParagraph"/>
        <w:numPr>
          <w:ilvl w:val="0"/>
          <w:numId w:val="3"/>
        </w:numPr>
        <w:spacing w:before="50" w:after="50"/>
      </w:pPr>
      <w:r>
        <w:rPr>
          <w:rFonts w:ascii="Arial" w:cs="Arial" w:eastAsia="Arial" w:hAnsi="Arial"/>
          <w:color w:val="555555"/>
          <w:sz w:val="21"/>
          <w:szCs w:val="21"/>
        </w:rPr>
        <w:t xml:space="preserve">Review a random sample of 10 essays where AI and human scores diverge most (delta &gt; 1.0 band).</w:t>
      </w:r>
    </w:p>
    <w:p>
      <w:pPr>
        <w:pStyle w:val="ListParagraph"/>
        <w:numPr>
          <w:ilvl w:val="0"/>
          <w:numId w:val="3"/>
        </w:numPr>
        <w:spacing w:before="50" w:after="50"/>
      </w:pPr>
      <w:r>
        <w:rPr>
          <w:rFonts w:ascii="Arial" w:cs="Arial" w:eastAsia="Arial" w:hAnsi="Arial"/>
          <w:color w:val="555555"/>
          <w:sz w:val="21"/>
          <w:szCs w:val="21"/>
        </w:rPr>
        <w:t xml:space="preserve">Diagnose the failure mode: is the AI over-penalising a feature the rubric does not prioritise? Is it missing a common error pattern?</w:t>
      </w:r>
    </w:p>
    <w:p>
      <w:pPr>
        <w:pStyle w:val="ListParagraph"/>
        <w:numPr>
          <w:ilvl w:val="0"/>
          <w:numId w:val="3"/>
        </w:numPr>
        <w:spacing w:before="50" w:after="50"/>
      </w:pPr>
      <w:r>
        <w:rPr>
          <w:rFonts w:ascii="Arial" w:cs="Arial" w:eastAsia="Arial" w:hAnsi="Arial"/>
          <w:color w:val="555555"/>
          <w:sz w:val="21"/>
          <w:szCs w:val="21"/>
        </w:rPr>
        <w:t xml:space="preserve">Adjust the rubric descriptor language and example anchors in the prompt injection layer.</w:t>
      </w:r>
    </w:p>
    <w:p>
      <w:pPr>
        <w:pStyle w:val="ListParagraph"/>
        <w:numPr>
          <w:ilvl w:val="0"/>
          <w:numId w:val="3"/>
        </w:numPr>
        <w:spacing w:before="50" w:after="50"/>
      </w:pPr>
      <w:r>
        <w:rPr>
          <w:rFonts w:ascii="Arial" w:cs="Arial" w:eastAsia="Arial" w:hAnsi="Arial"/>
          <w:color w:val="555555"/>
          <w:sz w:val="21"/>
          <w:szCs w:val="21"/>
        </w:rPr>
        <w:t xml:space="preserve">Re-run AI scoring against the full dataset — do NOT selectively re-score to avoid overfitting to the sample.</w:t>
      </w:r>
    </w:p>
    <w:p>
      <w:pPr>
        <w:pStyle w:val="ListParagraph"/>
        <w:numPr>
          <w:ilvl w:val="0"/>
          <w:numId w:val="3"/>
        </w:numPr>
        <w:spacing w:before="50" w:after="50"/>
      </w:pPr>
      <w:r>
        <w:rPr>
          <w:rFonts w:ascii="Arial" w:cs="Arial" w:eastAsia="Arial" w:hAnsi="Arial"/>
          <w:color w:val="555555"/>
          <w:sz w:val="21"/>
          <w:szCs w:val="21"/>
        </w:rPr>
        <w:t xml:space="preserve">Recompute correlation. If improved but still below threshold, repeat from step 1.</w:t>
      </w:r>
    </w:p>
    <w:p>
      <w:pPr>
        <w:pStyle w:val="ListParagraph"/>
        <w:numPr>
          <w:ilvl w:val="0"/>
          <w:numId w:val="3"/>
        </w:numPr>
        <w:spacing w:before="50" w:after="50"/>
      </w:pPr>
      <w:r>
        <w:rPr>
          <w:rFonts w:ascii="Arial" w:cs="Arial" w:eastAsia="Arial" w:hAnsi="Arial"/>
          <w:color w:val="555555"/>
          <w:sz w:val="21"/>
          <w:szCs w:val="21"/>
        </w:rPr>
        <w:t xml:space="preserve">If 3 full tuning iterations do not reach 0.85: escalate to product lead. Launch is delayed, not cancelled.</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20"/>
              <w:left w:type="dxa" w:w="280"/>
              <w:bottom w:type="dxa" w:w="120"/>
              <w:right w:type="dxa" w:w="200"/>
            </w:tcMar>
          </w:tcPr>
          <w:p>
            <w:r>
              <w:rPr>
                <w:rFonts w:ascii="Arial" w:cs="Arial" w:eastAsia="Arial" w:hAnsi="Arial"/>
                <w:b/>
                <w:bCs/>
                <w:color w:val="922B21"/>
                <w:sz w:val="21"/>
                <w:szCs w:val="21"/>
              </w:rPr>
              <w:t xml:space="preserve">⚠  Never tune the rubric by running AI scoring against a subset of essays where you already know the outcome. This produces false confidence. Always re-run against the full dataset after each tuning iteration.</w:t>
            </w:r>
          </w:p>
        </w:tc>
      </w:tr>
    </w:tbl>
    <w:p>
      <w:pPr>
        <w:spacing w:before="200" w:after="100"/>
      </w:pPr>
    </w:p>
    <w:p>
      <w:pPr>
        <w:pStyle w:val="Heading1"/>
        <w:spacing w:before="320" w:after="160"/>
      </w:pPr>
      <w:r>
        <w:rPr>
          <w:rFonts w:ascii="Arial" w:cs="Arial" w:eastAsia="Arial" w:hAnsi="Arial"/>
          <w:b/>
          <w:bCs/>
          <w:color w:val="1B4F8A"/>
          <w:sz w:val="34"/>
          <w:szCs w:val="34"/>
        </w:rPr>
        <w:t xml:space="preserve">7. Calibration Baseline Record</w:t>
      </w:r>
    </w:p>
    <w:p>
      <w:pPr>
        <w:spacing w:before="60" w:after="60"/>
      </w:pPr>
    </w:p>
    <w:p>
      <w:pPr>
        <w:spacing w:before="80" w:after="80"/>
      </w:pPr>
      <w:r>
        <w:rPr>
          <w:rFonts w:ascii="Arial" w:cs="Arial" w:eastAsia="Arial" w:hAnsi="Arial"/>
          <w:b w:val="false"/>
          <w:bCs w:val="false"/>
          <w:i w:val="false"/>
          <w:iCs w:val="false"/>
          <w:color w:val="555555"/>
          <w:sz w:val="22"/>
          <w:szCs w:val="22"/>
        </w:rPr>
        <w:t xml:space="preserve">When all Go/No-Go criteria are passed, the calibration results are stored as an immutable baseline record. This record is the foundation of the scoring transparency promise made to users.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calibration_version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String identifier: 'v1.0-launch'. Incremented on every future recalibration.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exam_type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One record per exam type: ielts_task2, toefl_independent, delf_b2, tcf_canada.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sample_count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Number of essays in the calibration dataset for this exam type.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overall_pearson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Pearson correlation coefficient: overall band score. Stored to 4 decimal places.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category_pearson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JSON object: one correlation value per rubric category.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human_examiner_count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Number of certified examiners who graded the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inter_rater_kappa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Cohen's Kappa between human graders across the dataset.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calibration_date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ISO 8601 timestamp of calibration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signed_off_by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Product lead name and date of Go/No-Go approval.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displayed_on_reports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Boolean: true. This record is shown on every user score report.</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4"/>
              <w:bottom w:val="none" w:color="FFFFFF" w:sz="0"/>
              <w:right w:val="none" w:color="FFFFFF" w:sz="0"/>
            </w:tcBorders>
            <w:shd w:fill="D0EFEF" w:val="clear"/>
            <w:tcMar>
              <w:top w:type="dxa" w:w="120"/>
              <w:left w:type="dxa" w:w="280"/>
              <w:bottom w:type="dxa" w:w="120"/>
              <w:right w:type="dxa" w:w="200"/>
            </w:tcMar>
          </w:tcPr>
          <w:p>
            <w:r>
              <w:rPr>
                <w:rFonts w:ascii="Arial" w:cs="Arial" w:eastAsia="Arial" w:hAnsi="Arial"/>
                <w:i/>
                <w:iCs/>
                <w:color w:val="2C3E50"/>
                <w:sz w:val="21"/>
                <w:szCs w:val="21"/>
              </w:rPr>
              <w:t xml:space="preserve">The calibration_version and overall_pearson values are displayed on every score report generated by the writing evaluation service. The exact wording on user-facing reports: 'Score calibrated against [N] essays. AI-to-human correlation: [X.XX] (calibration v[version])'.</w:t>
            </w:r>
          </w:p>
        </w:tc>
      </w:tr>
    </w:tbl>
    <w:p>
      <w:pPr>
        <w:spacing w:before="200" w:after="100"/>
      </w:pPr>
    </w:p>
    <w:p>
      <w:pPr>
        <w:pStyle w:val="Heading1"/>
        <w:spacing w:before="320" w:after="160"/>
      </w:pPr>
      <w:r>
        <w:rPr>
          <w:rFonts w:ascii="Arial" w:cs="Arial" w:eastAsia="Arial" w:hAnsi="Arial"/>
          <w:b/>
          <w:bCs/>
          <w:color w:val="1B4F8A"/>
          <w:sz w:val="34"/>
          <w:szCs w:val="34"/>
        </w:rPr>
        <w:t xml:space="preserve">8. Timeline and Milestones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4"/>
              <w:bottom w:val="none" w:color="FFFFFF" w:sz="0"/>
              <w:right w:val="none" w:color="FFFFFF" w:sz="0"/>
            </w:tcBorders>
            <w:shd w:fill="D0EFEF" w:val="clear"/>
            <w:tcMar>
              <w:top w:type="dxa" w:w="120"/>
              <w:left w:type="dxa" w:w="280"/>
              <w:bottom w:type="dxa" w:w="120"/>
              <w:right w:type="dxa" w:w="200"/>
            </w:tcMar>
          </w:tcPr>
          <w:p>
            <w:r>
              <w:rPr>
                <w:rFonts w:ascii="Arial" w:cs="Arial" w:eastAsia="Arial" w:hAnsi="Arial"/>
                <w:i/>
                <w:iCs/>
                <w:color w:val="2C3E50"/>
                <w:sz w:val="21"/>
                <w:szCs w:val="21"/>
              </w:rPr>
              <w:t xml:space="preserve">Phase 0 runs in parallel with Phase 1 (Core Platform) development. The calibration data collection and human grading can begin immediately — before the AI evaluation service is fully built. The AI scoring run against the dataset happens once the evaluation service is ready, in Week 3–4.</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Milestone</w:t>
            </w:r>
          </w:p>
        </w:tc>
        <w:tc>
          <w:tcPr>
            <w:tcW w:type="dxa" w:w="440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Activity</w:t>
            </w:r>
          </w:p>
        </w:tc>
        <w:tc>
          <w:tcPr>
            <w:tcW w:type="dxa" w:w="2960"/>
            <w:tcBorders>
              <w:top w:val="single" w:color="CCCCCC" w:sz="1"/>
              <w:left w:val="single" w:color="CCCCCC" w:sz="1"/>
              <w:bottom w:val="single" w:color="CCCCCC" w:sz="1"/>
              <w:right w:val="single" w:color="CCCCCC" w:sz="1"/>
            </w:tcBorders>
            <w:shd w:fill="1B4F8A" w:val="clear"/>
            <w:tcMar>
              <w:top w:type="dxa" w:w="90"/>
              <w:left w:type="dxa" w:w="150"/>
              <w:bottom w:type="dxa" w:w="90"/>
              <w:right w:type="dxa" w:w="150"/>
            </w:tcMar>
          </w:tcPr>
          <w:p>
            <w:r>
              <w:rPr>
                <w:rFonts w:ascii="Arial" w:cs="Arial" w:eastAsia="Arial" w:hAnsi="Arial"/>
                <w:b/>
                <w:bCs/>
                <w:color w:val="FFFFFF"/>
                <w:sz w:val="21"/>
                <w:szCs w:val="21"/>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1</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Essay and speech sample collection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 + Product Lead</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1</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Examiner contracts signed, NDAs executed</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Product Lead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1–2</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Human grading begins — all exam types in parallel</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External Examiners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2</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Inter-rater reliability computed per essay</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2</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Speech sample recording and accent rater scoring begins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External Accent Raters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3</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AI evaluation service (Writing) connected to calibration pipeline</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Backend Engineer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3</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AI scoring run against full writing dataset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3</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ASR pipeline tested against speech samples, WER computed</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3</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First correlation analysis run — all exam types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3–4</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Rubric tuning iterations if correlation &lt; 0.85</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4</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Final correlation analysis — all targets met (expected)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4</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Go/No-Go review meeting — results presented</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AI/ML Engineer + Product Lead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bCs/>
                <w:color w:val="2C3E50"/>
                <w:sz w:val="19"/>
                <w:szCs w:val="19"/>
              </w:rPr>
              <w:t xml:space="preserve">Week 4</w:t>
            </w:r>
          </w:p>
        </w:tc>
        <w:tc>
          <w:tcPr>
            <w:tcW w:type="dxa" w:w="44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Calibration baseline record stored in database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555555"/>
                <w:sz w:val="19"/>
                <w:szCs w:val="19"/>
              </w:rPr>
              <w:t xml:space="preserve">Backend Engineer</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bCs/>
                <w:color w:val="2C3E50"/>
                <w:sz w:val="19"/>
                <w:szCs w:val="19"/>
              </w:rPr>
              <w:t xml:space="preserve">Week 4</w:t>
            </w:r>
          </w:p>
        </w:tc>
        <w:tc>
          <w:tcPr>
            <w:tcW w:type="dxa" w:w="44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Go/No-Go decision signed — Phase 1 proceeds to launch</w:t>
            </w:r>
          </w:p>
        </w:tc>
        <w:tc>
          <w:tcPr>
            <w:tcW w:type="dxa" w:w="296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555555"/>
                <w:sz w:val="19"/>
                <w:szCs w:val="19"/>
              </w:rPr>
              <w:t xml:space="preserve">Product Lead</w:t>
            </w:r>
          </w:p>
        </w:tc>
      </w:tr>
    </w:tbl>
    <w:p>
      <w:pPr>
        <w:spacing w:before="200" w:after="100"/>
      </w:pPr>
    </w:p>
    <w:p>
      <w:pPr>
        <w:pStyle w:val="Heading1"/>
        <w:spacing w:before="320" w:after="160"/>
      </w:pPr>
      <w:r>
        <w:rPr>
          <w:rFonts w:ascii="Arial" w:cs="Arial" w:eastAsia="Arial" w:hAnsi="Arial"/>
          <w:b/>
          <w:bCs/>
          <w:color w:val="1B4F8A"/>
          <w:sz w:val="34"/>
          <w:szCs w:val="34"/>
        </w:rPr>
        <w:t xml:space="preserve">9. Go/No-Go Decision Gate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4"/>
              <w:bottom w:val="none" w:color="FFFFFF" w:sz="0"/>
              <w:right w:val="none" w:color="FFFFFF" w:sz="0"/>
            </w:tcBorders>
            <w:shd w:fill="FDEDEC" w:val="clear"/>
            <w:tcMar>
              <w:top w:type="dxa" w:w="120"/>
              <w:left w:type="dxa" w:w="280"/>
              <w:bottom w:type="dxa" w:w="120"/>
              <w:right w:type="dxa" w:w="200"/>
            </w:tcMar>
          </w:tcPr>
          <w:p>
            <w:r>
              <w:rPr>
                <w:rFonts w:ascii="Arial" w:cs="Arial" w:eastAsia="Arial" w:hAnsi="Arial"/>
                <w:b/>
                <w:bCs/>
                <w:color w:val="922B21"/>
                <w:sz w:val="21"/>
                <w:szCs w:val="21"/>
              </w:rPr>
              <w:t xml:space="preserve">⚠  Both conditions must be satisfied simultaneously. A partial pass — for example, one exam type at 0.82 correlation while others pass, or one accent target with WER of 11% — is a no-go. All targets must be met across all exam types and accent targets before sign-off.</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860"/>
      </w:tblGrid>
      <w:tr>
        <w:tc>
          <w:tcPr>
            <w:tcW w:type="dxa" w:w="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Overall Pearson correlation ≥ 0.85 — IELTS Task 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Overall Pearson correlation ≥ 0.85 — IELTS General</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Overall Pearson correlation ≥ 0.85 — TOEFL iBT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Overall Pearson correlation ≥ 0.85 — DELF B2</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Overall Pearson correlation ≥ 0.85 — TCF Canada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All rubric category correlations ≥ 0.80 (each exam type)</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Inter-rater reliability (human–human) ≥ 0.80 confirmed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WER &lt; 10% — en-US accent target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WER &lt; 10% — en-UK accent target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WER &lt; 10% — fr-FR accent target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WER &lt; 10% — fr-CA accent target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Accent score bias &lt; 0.2 bands across all accent targets</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AI/ML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calibration_version='v1.0-launch' stored in database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Backend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b w:val="false"/>
                <w:bCs w:val="false"/>
                <w:color w:val="2C3E50"/>
                <w:sz w:val="20"/>
                <w:szCs w:val="20"/>
              </w:rPr>
              <w:t xml:space="preserve">Calibration metadata visible on test score report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50"/>
              <w:bottom w:type="dxa" w:w="70"/>
              <w:right w:type="dxa" w:w="150"/>
            </w:tcMar>
          </w:tcPr>
          <w:p>
            <w:r>
              <w:rPr>
                <w:rFonts w:ascii="Arial" w:cs="Arial" w:eastAsia="Arial" w:hAnsi="Arial"/>
                <w:color w:val="0D7377"/>
                <w:sz w:val="19"/>
                <w:szCs w:val="19"/>
              </w:rPr>
              <w:t xml:space="preserve">Frontend Engineer</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2C3E5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b w:val="false"/>
                <w:bCs w:val="false"/>
                <w:color w:val="2C3E50"/>
                <w:sz w:val="20"/>
                <w:szCs w:val="20"/>
              </w:rPr>
              <w:t xml:space="preserve">Go/No-Go approval signed by Product Lead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50"/>
              <w:bottom w:type="dxa" w:w="70"/>
              <w:right w:type="dxa" w:w="150"/>
            </w:tcMar>
          </w:tcPr>
          <w:p>
            <w:r>
              <w:rPr>
                <w:rFonts w:ascii="Arial" w:cs="Arial" w:eastAsia="Arial" w:hAnsi="Arial"/>
                <w:color w:val="0D7377"/>
                <w:sz w:val="19"/>
                <w:szCs w:val="19"/>
              </w:rPr>
              <w:t xml:space="preserve">Product Lead</w:t>
            </w:r>
          </w:p>
        </w:tc>
        <w:tc>
          <w:tcPr>
            <w:tcW w:type="dxa" w:w="1860"/>
            <w:tcBorders>
              <w:top w:val="single" w:color="CCCCCC" w:sz="1"/>
              <w:left w:val="single" w:color="CCCCCC" w:sz="1"/>
              <w:bottom w:val="single" w:color="CCCCCC" w:sz="1"/>
              <w:right w:val="single" w:color="CCCCCC" w:sz="1"/>
            </w:tcBorders>
            <w:shd w:fill="FFF9E6" w:val="clear"/>
            <w:tcMar>
              <w:top w:type="dxa" w:w="70"/>
              <w:left w:type="dxa" w:w="150"/>
              <w:bottom w:type="dxa" w:w="70"/>
              <w:right w:type="dxa" w:w="150"/>
            </w:tcMar>
          </w:tcPr>
          <w:p>
            <w:pPr>
              <w:jc w:val="center"/>
            </w:pPr>
            <w:r>
              <w:rPr>
                <w:rFonts w:ascii="Arial" w:cs="Arial" w:eastAsia="Arial" w:hAnsi="Arial"/>
                <w:b/>
                <w:bCs/>
                <w:color w:val="B7950B"/>
                <w:sz w:val="18"/>
                <w:szCs w:val="18"/>
              </w:rPr>
              <w:t xml:space="preserve">Pending</w:t>
            </w:r>
          </w:p>
        </w:tc>
      </w:tr>
    </w:tbl>
    <w:p>
      <w:pPr>
        <w:spacing w:before="200" w:after="100"/>
      </w:pPr>
    </w:p>
    <w:p>
      <w:pPr>
        <w:pStyle w:val="Heading1"/>
        <w:spacing w:before="320" w:after="160"/>
      </w:pPr>
      <w:r>
        <w:rPr>
          <w:rFonts w:ascii="Arial" w:cs="Arial" w:eastAsia="Arial" w:hAnsi="Arial"/>
          <w:b/>
          <w:bCs/>
          <w:color w:val="1B4F8A"/>
          <w:sz w:val="34"/>
          <w:szCs w:val="34"/>
        </w:rPr>
        <w:t xml:space="preserve">10. Post-Calibration — Ongoing Monitoring</w:t>
      </w:r>
    </w:p>
    <w:p>
      <w:pPr>
        <w:spacing w:before="60" w:after="60"/>
      </w:pPr>
    </w:p>
    <w:p>
      <w:pPr>
        <w:spacing w:before="80" w:after="80"/>
      </w:pPr>
      <w:r>
        <w:rPr>
          <w:rFonts w:ascii="Arial" w:cs="Arial" w:eastAsia="Arial" w:hAnsi="Arial"/>
          <w:b w:val="false"/>
          <w:bCs w:val="false"/>
          <w:i w:val="false"/>
          <w:iCs w:val="false"/>
          <w:color w:val="555555"/>
          <w:sz w:val="22"/>
          <w:szCs w:val="22"/>
        </w:rPr>
        <w:t xml:space="preserve">Calibration is not a one-time event. As the system processes real user submissions, the Calibration Monitor service tracks whether the AI scoring distribution drifts from the v1.0-launch baseline. The following ongoing processes are required:</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Process</w:t>
            </w:r>
          </w:p>
        </w:tc>
        <w:tc>
          <w:tcPr>
            <w:tcW w:type="dxa" w:w="6560"/>
            <w:tcBorders>
              <w:top w:val="single" w:color="CCCCCC" w:sz="1"/>
              <w:left w:val="single" w:color="CCCCCC" w:sz="1"/>
              <w:bottom w:val="single" w:color="CCCCCC" w:sz="1"/>
              <w:right w:val="single" w:color="CCCCCC" w:sz="1"/>
            </w:tcBorders>
            <w:shd w:fill="1B4F8A" w:val="clear"/>
            <w:tcMar>
              <w:top w:type="dxa" w:w="80"/>
              <w:left w:type="dxa" w:w="150"/>
              <w:bottom w:type="dxa" w:w="80"/>
              <w:right w:type="dxa" w:w="15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Weekly correlation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The Calibration Monitor computes weekly Pearson correlation on a rolling sample of recent evaluations vs a held-out human-graded set. Alert if correlation drops &gt; 0.05 from baseline.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Quarterly recalibration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Every quarter, a new set of 20–30 essays per exam type is graded by human examiners and compared against AI scores. If drift is detected, rubric tuning cycle restarts.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Model version bump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Any change to the underlying LLM model (version upgrade, fine-tuning) requires a recalibration run before the new model is deployed to production. calibration_version is incremented.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bCs/>
                <w:color w:val="2C3E50"/>
                <w:sz w:val="21"/>
                <w:szCs w:val="21"/>
              </w:rPr>
              <w:t xml:space="preserve">Appeal data as calibration signal</w:t>
            </w:r>
          </w:p>
        </w:tc>
        <w:tc>
          <w:tcPr>
            <w:tcW w:type="dxa" w:w="6560"/>
            <w:tcBorders>
              <w:top w:val="single" w:color="CCCCCC" w:sz="1"/>
              <w:left w:val="single" w:color="CCCCCC" w:sz="1"/>
              <w:bottom w:val="single" w:color="CCCCCC" w:sz="1"/>
              <w:right w:val="single" w:color="CCCCCC" w:sz="1"/>
            </w:tcBorders>
            <w:shd w:fill="F5F7FA" w:val="clear"/>
            <w:tcMar>
              <w:top w:type="dxa" w:w="80"/>
              <w:left w:type="dxa" w:w="150"/>
              <w:bottom w:type="dxa" w:w="80"/>
              <w:right w:type="dxa" w:w="150"/>
            </w:tcMar>
          </w:tcPr>
          <w:p>
            <w:r>
              <w:rPr>
                <w:rFonts w:ascii="Arial" w:cs="Arial" w:eastAsia="Arial" w:hAnsi="Arial"/>
                <w:b w:val="false"/>
                <w:bCs w:val="false"/>
                <w:color w:val="555555"/>
                <w:sz w:val="21"/>
                <w:szCs w:val="21"/>
              </w:rPr>
              <w:t xml:space="preserve">Score appeals that are resolved by human review and result in a score change are logged as high-value calibration data points. These are incorporated into the next quarterly recalibration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C3E50"/>
                <w:sz w:val="21"/>
                <w:szCs w:val="21"/>
              </w:rPr>
              <w:t xml:space="preserve">Transparency update on 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555555"/>
                <w:sz w:val="21"/>
                <w:szCs w:val="21"/>
              </w:rPr>
              <w:t xml:space="preserve">When calibration_version is incremented (post-recalibration), user score reports automatically reflect the new version and updated correlation coefficient.</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8449" w:sz="14"/>
              <w:bottom w:val="none" w:color="FFFFFF" w:sz="0"/>
              <w:right w:val="none" w:color="FFFFFF" w:sz="0"/>
            </w:tcBorders>
            <w:shd w:fill="EBF5EB" w:val="clear"/>
            <w:tcMar>
              <w:top w:type="dxa" w:w="120"/>
              <w:left w:type="dxa" w:w="280"/>
              <w:bottom w:type="dxa" w:w="120"/>
              <w:right w:type="dxa" w:w="200"/>
            </w:tcMar>
          </w:tcPr>
          <w:p>
            <w:r>
              <w:rPr>
                <w:rFonts w:ascii="Arial" w:cs="Arial" w:eastAsia="Arial" w:hAnsi="Arial"/>
                <w:b/>
                <w:bCs/>
                <w:color w:val="1A5E30"/>
                <w:sz w:val="21"/>
                <w:szCs w:val="21"/>
              </w:rPr>
              <w:t xml:space="preserve">✓  A sustained Pearson correlation ≥ 0.85 over 12 months post-launch is a 12-month strategic success criterion for the product. This brief is the foundation of that commitment.</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pPr>
    <w:r>
      <w:rPr>
        <w:rFonts w:ascii="Arial" w:cs="Arial" w:eastAsia="Arial" w:hAnsi="Arial"/>
        <w:color w:val="555555"/>
        <w:sz w:val="18"/>
        <w:szCs w:val="18"/>
      </w:rPr>
      <w:t xml:space="preserve">Confidential — TETSOPGUIM Kefoueg Frank P.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b/>
        <w:bCs/>
        <w:color w:val="1B4F8A"/>
        <w:sz w:val="18"/>
        <w:szCs w:val="18"/>
      </w:rPr>
      <w:t xml:space="preserve">LinguaMentor</w:t>
    </w:r>
    <w:r>
      <w:rPr>
        <w:rFonts w:ascii="Arial" w:cs="Arial" w:eastAsia="Arial" w:hAnsi="Arial"/>
        <w:color w:val="555555"/>
        <w:sz w:val="18"/>
        <w:szCs w:val="18"/>
      </w:rPr>
      <w:t xml:space="preserve">  ·  Phase 0 Calibration Brief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0D7377"/>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2026-03-05T20:30:35.201Z</dcterms:created>
  <dcterms:modified xsi:type="dcterms:W3CDTF">2026-03-05T20:30:35.202Z</dcterms:modified>
</cp:coreProperties>
</file>

<file path=docProps/custom.xml><?xml version="1.0" encoding="utf-8"?>
<Properties xmlns="http://schemas.openxmlformats.org/officeDocument/2006/custom-properties" xmlns:vt="http://schemas.openxmlformats.org/officeDocument/2006/docPropsVTypes"/>
</file>