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color w:val="765ab0"/>
          <w:sz w:val="24"/>
          <w:szCs w:val="24"/>
        </w:rPr>
      </w:pPr>
      <w:r w:rsidDel="00000000" w:rsidR="00000000" w:rsidRPr="00000000">
        <w:rPr>
          <w:rtl w:val="0"/>
        </w:rPr>
      </w:r>
    </w:p>
    <w:tbl>
      <w:tblPr>
        <w:tblStyle w:val="Table1"/>
        <w:tblpPr w:leftFromText="180" w:rightFromText="180" w:topFromText="0" w:bottomFromText="0" w:vertAnchor="page" w:horzAnchor="margin" w:tblpX="0" w:tblpY="2264"/>
        <w:tblW w:w="14166.0" w:type="dxa"/>
        <w:jc w:val="left"/>
        <w:tblBorders>
          <w:top w:color="765ab0" w:space="0" w:sz="8" w:val="single"/>
          <w:left w:color="765ab0" w:space="0" w:sz="8" w:val="single"/>
          <w:bottom w:color="765ab0" w:space="0" w:sz="8" w:val="single"/>
          <w:right w:color="765ab0" w:space="0" w:sz="8" w:val="single"/>
          <w:insideH w:color="765ab0" w:space="0" w:sz="8" w:val="single"/>
          <w:insideV w:color="765ab0" w:space="0" w:sz="8" w:val="single"/>
        </w:tblBorders>
        <w:tblLayout w:type="fixed"/>
        <w:tblLook w:val="0400"/>
      </w:tblPr>
      <w:tblGrid>
        <w:gridCol w:w="1550"/>
        <w:gridCol w:w="4961"/>
        <w:gridCol w:w="709"/>
        <w:gridCol w:w="1843"/>
        <w:gridCol w:w="5103"/>
        <w:tblGridChange w:id="0">
          <w:tblGrid>
            <w:gridCol w:w="1550"/>
            <w:gridCol w:w="4961"/>
            <w:gridCol w:w="709"/>
            <w:gridCol w:w="1843"/>
            <w:gridCol w:w="5103"/>
          </w:tblGrid>
        </w:tblGridChange>
      </w:tblGrid>
      <w:tr>
        <w:trPr>
          <w:cantSplit w:val="0"/>
          <w:tblHeader w:val="0"/>
        </w:trPr>
        <w:tc>
          <w:tcPr/>
          <w:p w:rsidR="00000000" w:rsidDel="00000000" w:rsidP="00000000" w:rsidRDefault="00000000" w:rsidRPr="00000000" w14:paraId="00000002">
            <w:pPr>
              <w:spacing w:after="120" w:before="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Route</w:t>
            </w:r>
          </w:p>
        </w:tc>
        <w:tc>
          <w:tcPr/>
          <w:p w:rsidR="00000000" w:rsidDel="00000000" w:rsidP="00000000" w:rsidRDefault="00000000" w:rsidRPr="00000000" w14:paraId="00000003">
            <w:pPr>
              <w:spacing w:after="120" w:before="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Digital</w:t>
            </w:r>
          </w:p>
        </w:tc>
        <w:tc>
          <w:tcPr>
            <w:tcBorders>
              <w:top w:color="000000" w:space="0" w:sz="0" w:val="nil"/>
              <w:bottom w:color="000000" w:space="0" w:sz="0" w:val="nil"/>
            </w:tcBorders>
          </w:tcPr>
          <w:p w:rsidR="00000000" w:rsidDel="00000000" w:rsidP="00000000" w:rsidRDefault="00000000" w:rsidRPr="00000000" w14:paraId="00000004">
            <w:pPr>
              <w:spacing w:after="120" w:before="120" w:lineRule="auto"/>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005">
            <w:pPr>
              <w:spacing w:after="120" w:before="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 Level</w:t>
            </w:r>
          </w:p>
        </w:tc>
        <w:tc>
          <w:tcPr/>
          <w:p w:rsidR="00000000" w:rsidDel="00000000" w:rsidP="00000000" w:rsidRDefault="00000000" w:rsidRPr="00000000" w14:paraId="00000006">
            <w:pPr>
              <w:spacing w:after="120" w:before="12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Digital Production, Design and Development</w:t>
            </w:r>
          </w:p>
        </w:tc>
      </w:tr>
    </w:tbl>
    <w:p w:rsidR="00000000" w:rsidDel="00000000" w:rsidP="00000000" w:rsidRDefault="00000000" w:rsidRPr="00000000" w14:paraId="00000007">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Fonts w:ascii="Arial" w:cs="Arial" w:eastAsia="Arial" w:hAnsi="Arial"/>
          <w:sz w:val="24"/>
          <w:szCs w:val="24"/>
          <w:rtl w:val="0"/>
        </w:rPr>
        <w:t xml:space="preserve">Providing students with meaningful industry placement experiences is a vital part of building employability skills and provides </w:t>
      </w: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responsibilities linked to their T Level course. </w:t>
      </w:r>
    </w:p>
    <w:p w:rsidR="00000000" w:rsidDel="00000000" w:rsidP="00000000" w:rsidRDefault="00000000" w:rsidRPr="00000000" w14:paraId="0000000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w:t>
      </w:r>
      <w:r w:rsidDel="00000000" w:rsidR="00000000" w:rsidRPr="00000000">
        <w:rPr>
          <w:rFonts w:ascii="Arial" w:cs="Arial" w:eastAsia="Arial" w:hAnsi="Arial"/>
          <w:b w:val="1"/>
          <w:i w:val="1"/>
          <w:sz w:val="24"/>
          <w:szCs w:val="24"/>
          <w:rtl w:val="0"/>
        </w:rPr>
        <w:t xml:space="preserve">Typical Tasks Checklist</w:t>
      </w:r>
      <w:r w:rsidDel="00000000" w:rsidR="00000000" w:rsidRPr="00000000">
        <w:rPr>
          <w:rFonts w:ascii="Arial" w:cs="Arial" w:eastAsia="Arial" w:hAnsi="Arial"/>
          <w:sz w:val="24"/>
          <w:szCs w:val="24"/>
          <w:rtl w:val="0"/>
        </w:rPr>
        <w:t xml:space="preserve"> will help you as an employer engagement colleague to work with employers to see how they can support students and identify the types of projects and tasks that a student can get involved with. </w:t>
      </w:r>
    </w:p>
    <w:p w:rsidR="00000000" w:rsidDel="00000000" w:rsidP="00000000" w:rsidRDefault="00000000" w:rsidRPr="00000000" w14:paraId="0000000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employer may be able to offer some or all these opportunities to students. Completing the checklist will aid your discussions and help you to plan and reach decisions.</w:t>
      </w:r>
    </w:p>
    <w:p w:rsidR="00000000" w:rsidDel="00000000" w:rsidP="00000000" w:rsidRDefault="00000000" w:rsidRPr="00000000" w14:paraId="0000000C">
      <w:pPr>
        <w:spacing w:line="276" w:lineRule="auto"/>
        <w:rPr>
          <w:rFonts w:ascii="Arial" w:cs="Arial" w:eastAsia="Arial" w:hAnsi="Arial"/>
          <w:sz w:val="24"/>
          <w:szCs w:val="24"/>
        </w:rPr>
      </w:pPr>
      <w:r w:rsidDel="00000000" w:rsidR="00000000" w:rsidRPr="00000000">
        <w:rPr>
          <w:rtl w:val="0"/>
        </w:rPr>
      </w:r>
    </w:p>
    <w:tbl>
      <w:tblPr>
        <w:tblStyle w:val="Table2"/>
        <w:tblW w:w="139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8"/>
        <w:tblGridChange w:id="0">
          <w:tblGrid>
            <w:gridCol w:w="13948"/>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Link to the T Level outline content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127"/>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https://www.instituteforapprenticeships.org/qualifications/t-levels/approved-t-level-technical-qualifications-and-final-outline-content/final-outline-content/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F">
      <w:pPr>
        <w:spacing w:after="120" w:before="120"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sz w:val="24"/>
          <w:szCs w:val="24"/>
        </w:rPr>
      </w:pPr>
      <w:r w:rsidDel="00000000" w:rsidR="00000000" w:rsidRPr="00000000">
        <w:rPr>
          <w:rtl w:val="0"/>
        </w:rPr>
      </w:r>
    </w:p>
    <w:tbl>
      <w:tblPr>
        <w:tblStyle w:val="Table3"/>
        <w:tblW w:w="14165.0" w:type="dxa"/>
        <w:jc w:val="left"/>
        <w:tblBorders>
          <w:top w:color="765ab0" w:space="0" w:sz="8" w:val="single"/>
          <w:left w:color="765ab0" w:space="0" w:sz="8" w:val="single"/>
          <w:bottom w:color="765ab0" w:space="0" w:sz="8" w:val="single"/>
          <w:right w:color="765ab0" w:space="0" w:sz="8" w:val="single"/>
          <w:insideH w:color="765ab0" w:space="0" w:sz="8" w:val="single"/>
          <w:insideV w:color="765ab0" w:space="0" w:sz="8" w:val="single"/>
        </w:tblBorders>
        <w:tblLayout w:type="fixed"/>
        <w:tblLook w:val="0400"/>
      </w:tblPr>
      <w:tblGrid>
        <w:gridCol w:w="6253"/>
        <w:gridCol w:w="6253"/>
        <w:gridCol w:w="1659"/>
        <w:tblGridChange w:id="0">
          <w:tblGrid>
            <w:gridCol w:w="6253"/>
            <w:gridCol w:w="6253"/>
            <w:gridCol w:w="1659"/>
          </w:tblGrid>
        </w:tblGridChange>
      </w:tblGrid>
      <w:tr>
        <w:trPr>
          <w:cantSplit w:val="1"/>
          <w:tblHeader w:val="1"/>
        </w:trPr>
        <w:tc>
          <w:tcPr>
            <w:vAlign w:val="center"/>
          </w:tcPr>
          <w:p w:rsidR="00000000" w:rsidDel="00000000" w:rsidP="00000000" w:rsidRDefault="00000000" w:rsidRPr="00000000" w14:paraId="00000012">
            <w:pPr>
              <w:spacing w:after="120" w:before="12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Employability Skills</w:t>
            </w:r>
            <w:r w:rsidDel="00000000" w:rsidR="00000000" w:rsidRPr="00000000">
              <w:rPr>
                <w:rtl w:val="0"/>
              </w:rPr>
            </w:r>
          </w:p>
        </w:tc>
        <w:tc>
          <w:tcPr>
            <w:vAlign w:val="center"/>
          </w:tcPr>
          <w:p w:rsidR="00000000" w:rsidDel="00000000" w:rsidP="00000000" w:rsidRDefault="00000000" w:rsidRPr="00000000" w14:paraId="00000013">
            <w:pPr>
              <w:spacing w:after="120" w:before="12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might we do this?</w:t>
            </w:r>
          </w:p>
        </w:tc>
        <w:tc>
          <w:tcPr>
            <w:vAlign w:val="center"/>
          </w:tcPr>
          <w:p w:rsidR="00000000" w:rsidDel="00000000" w:rsidP="00000000" w:rsidRDefault="00000000" w:rsidRPr="00000000" w14:paraId="00000014">
            <w:pPr>
              <w:spacing w:before="120" w:line="276" w:lineRule="auto"/>
              <w:jc w:val="center"/>
              <w:rPr>
                <w:rFonts w:ascii="Arial" w:cs="Arial" w:eastAsia="Arial" w:hAnsi="Arial"/>
                <w:b w:val="1"/>
              </w:rPr>
            </w:pPr>
            <w:r w:rsidDel="00000000" w:rsidR="00000000" w:rsidRPr="00000000">
              <w:rPr>
                <w:rFonts w:ascii="Arial" w:cs="Arial" w:eastAsia="Arial" w:hAnsi="Arial"/>
                <w:b w:val="1"/>
                <w:rtl w:val="0"/>
              </w:rPr>
              <w:t xml:space="preserve">Opportunities</w:t>
            </w:r>
          </w:p>
          <w:p w:rsidR="00000000" w:rsidDel="00000000" w:rsidP="00000000" w:rsidRDefault="00000000" w:rsidRPr="00000000" w14:paraId="00000015">
            <w:pPr>
              <w:spacing w:after="12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Y / N / maybe</w:t>
            </w:r>
            <w:r w:rsidDel="00000000" w:rsidR="00000000" w:rsidRPr="00000000">
              <w:rPr>
                <w:rtl w:val="0"/>
              </w:rPr>
            </w:r>
          </w:p>
        </w:tc>
      </w:tr>
      <w:tr>
        <w:trPr>
          <w:cantSplit w:val="1"/>
          <w:tblHeader w:val="0"/>
        </w:trPr>
        <w:tc>
          <w:tcPr/>
          <w:p w:rsidR="00000000" w:rsidDel="00000000" w:rsidP="00000000" w:rsidRDefault="00000000" w:rsidRPr="00000000" w14:paraId="00000016">
            <w:pPr>
              <w:spacing w:after="120" w:before="12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Communication skills</w:t>
            </w:r>
            <w:r w:rsidDel="00000000" w:rsidR="00000000" w:rsidRPr="00000000">
              <w:rPr>
                <w:rtl w:val="0"/>
              </w:rPr>
            </w:r>
          </w:p>
          <w:p w:rsidR="00000000" w:rsidDel="00000000" w:rsidP="00000000" w:rsidRDefault="00000000" w:rsidRPr="00000000" w14:paraId="00000017">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express or explain themselves clearly and effectively in different situations, such as speaking, writing, listening, and presenting. </w:t>
            </w:r>
          </w:p>
        </w:tc>
        <w:tc>
          <w:tcPr/>
          <w:p w:rsidR="00000000" w:rsidDel="00000000" w:rsidP="00000000" w:rsidRDefault="00000000" w:rsidRPr="00000000" w14:paraId="00000018">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employer or supervisor can help young workers understand what is expected of them in terms of communication by providing opportunities and feedback. </w:t>
            </w:r>
          </w:p>
          <w:p w:rsidR="00000000" w:rsidDel="00000000" w:rsidP="00000000" w:rsidRDefault="00000000" w:rsidRPr="00000000" w14:paraId="00000019">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Real business examples that demonstrate how to communicate effectively in different situations, the purpose, audience, tone, format, style of messages, and the channel of communication are helpful. This could be through writing an email, making a phone call, giving a presentation, or participating in a meeting. </w:t>
            </w:r>
          </w:p>
        </w:tc>
        <w:tc>
          <w:tcPr/>
          <w:p w:rsidR="00000000" w:rsidDel="00000000" w:rsidP="00000000" w:rsidRDefault="00000000" w:rsidRPr="00000000" w14:paraId="0000001A">
            <w:pPr>
              <w:spacing w:after="120" w:before="12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1B">
            <w:pPr>
              <w:spacing w:after="120" w:before="12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Teamwork skills</w:t>
            </w:r>
          </w:p>
          <w:p w:rsidR="00000000" w:rsidDel="00000000" w:rsidP="00000000" w:rsidRDefault="00000000" w:rsidRPr="00000000" w14:paraId="0000001C">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collaborate and cooperate with others, such as sharing ideas, giving, and receiving feedback, resolving conflicts, and supporting group / organisational goals. </w:t>
            </w:r>
          </w:p>
        </w:tc>
        <w:tc>
          <w:tcPr/>
          <w:p w:rsidR="00000000" w:rsidDel="00000000" w:rsidP="00000000" w:rsidRDefault="00000000" w:rsidRPr="00000000" w14:paraId="0000001D">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Teamwork skills are essential transferable skills for young people to learn, as they work with others in a group or project and contribute to common goal. </w:t>
            </w:r>
          </w:p>
          <w:p w:rsidR="00000000" w:rsidDel="00000000" w:rsidP="00000000" w:rsidRDefault="00000000" w:rsidRPr="00000000" w14:paraId="0000001E">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Employers can support this by helping students understand their roles and responsibilities within the team, and how they fit into the organisation's bigger picture. </w:t>
            </w:r>
          </w:p>
          <w:p w:rsidR="00000000" w:rsidDel="00000000" w:rsidP="00000000" w:rsidRDefault="00000000" w:rsidRPr="00000000" w14:paraId="0000001F">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Employers can also encourage students to participate actively in team meetings and discussions, and to listen to and respect different perspectives and opinions.</w:t>
            </w:r>
          </w:p>
        </w:tc>
        <w:tc>
          <w:tcPr/>
          <w:p w:rsidR="00000000" w:rsidDel="00000000" w:rsidP="00000000" w:rsidRDefault="00000000" w:rsidRPr="00000000" w14:paraId="00000020">
            <w:pPr>
              <w:spacing w:after="120" w:before="12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21">
            <w:pPr>
              <w:spacing w:after="120" w:before="12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Problem-solving skills</w:t>
            </w:r>
          </w:p>
          <w:p w:rsidR="00000000" w:rsidDel="00000000" w:rsidP="00000000" w:rsidRDefault="00000000" w:rsidRPr="00000000" w14:paraId="00000022">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identify, analyse, and solve problems using creative and critical thinking, such as defining the problem, generating alternatives, evaluating options, and implementing solutions.</w:t>
            </w:r>
          </w:p>
        </w:tc>
        <w:tc>
          <w:tcPr/>
          <w:p w:rsidR="00000000" w:rsidDel="00000000" w:rsidP="00000000" w:rsidRDefault="00000000" w:rsidRPr="00000000" w14:paraId="00000023">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employer can help young workers to develop their problem-solving skills by encouraging them to think critically and analytically about issues in the workplace, to ask relevant questions and gather related information. </w:t>
            </w:r>
          </w:p>
          <w:p w:rsidR="00000000" w:rsidDel="00000000" w:rsidP="00000000" w:rsidRDefault="00000000" w:rsidRPr="00000000" w14:paraId="00000024">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employer can also help young workers use various tools and methods to analyse and interpret data, such as charts, graphs, statistics, or logic models. </w:t>
            </w:r>
          </w:p>
        </w:tc>
        <w:tc>
          <w:tcPr/>
          <w:p w:rsidR="00000000" w:rsidDel="00000000" w:rsidP="00000000" w:rsidRDefault="00000000" w:rsidRPr="00000000" w14:paraId="00000025">
            <w:pPr>
              <w:spacing w:after="120" w:before="12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26">
            <w:pPr>
              <w:spacing w:after="120" w:before="12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Self-management skills</w:t>
            </w:r>
          </w:p>
          <w:p w:rsidR="00000000" w:rsidDel="00000000" w:rsidP="00000000" w:rsidRDefault="00000000" w:rsidRPr="00000000" w14:paraId="00000027">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plan, organise, and prioritise one's own work, such as setting goals, managing time, meeting deadlines, and being resilient. </w:t>
            </w:r>
          </w:p>
        </w:tc>
        <w:tc>
          <w:tcPr/>
          <w:p w:rsidR="00000000" w:rsidDel="00000000" w:rsidP="00000000" w:rsidRDefault="00000000" w:rsidRPr="00000000" w14:paraId="00000028">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Providing clear and constructive feedback is essential for learning and improvement. It helps young workers identify their strengths and areas for development and guides them on how to improve their performance and skills. </w:t>
            </w:r>
          </w:p>
          <w:p w:rsidR="00000000" w:rsidDel="00000000" w:rsidP="00000000" w:rsidRDefault="00000000" w:rsidRPr="00000000" w14:paraId="00000029">
            <w:pPr>
              <w:spacing w:after="120" w:before="120" w:line="276" w:lineRule="auto"/>
              <w:rPr>
                <w:rFonts w:ascii="Arial" w:cs="Arial" w:eastAsia="Arial" w:hAnsi="Arial"/>
              </w:rPr>
            </w:pPr>
            <w:r w:rsidDel="00000000" w:rsidR="00000000" w:rsidRPr="00000000">
              <w:rPr>
                <w:rFonts w:ascii="Arial" w:cs="Arial" w:eastAsia="Arial" w:hAnsi="Arial"/>
                <w:sz w:val="24"/>
                <w:szCs w:val="24"/>
                <w:rtl w:val="0"/>
              </w:rPr>
              <w:t xml:space="preserve">Setting clear and reinforcing realistic expectations will a help. The learning provider will be on hand to support or advise with this.</w:t>
            </w:r>
            <w:r w:rsidDel="00000000" w:rsidR="00000000" w:rsidRPr="00000000">
              <w:rPr>
                <w:rtl w:val="0"/>
              </w:rPr>
            </w:r>
          </w:p>
        </w:tc>
        <w:tc>
          <w:tcPr/>
          <w:p w:rsidR="00000000" w:rsidDel="00000000" w:rsidP="00000000" w:rsidRDefault="00000000" w:rsidRPr="00000000" w14:paraId="0000002A">
            <w:pPr>
              <w:spacing w:after="120" w:before="12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2B">
            <w:pPr>
              <w:spacing w:after="120" w:before="12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Learning skills</w:t>
            </w:r>
          </w:p>
          <w:p w:rsidR="00000000" w:rsidDel="00000000" w:rsidP="00000000" w:rsidRDefault="00000000" w:rsidRPr="00000000" w14:paraId="0000002C">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acquire and apply new knowledge and skills in a non-educational setting, such as seeking feedback, reflecting on one's own performance, and adapting to changing situations and expectations. </w:t>
            </w:r>
          </w:p>
        </w:tc>
        <w:tc>
          <w:tcPr/>
          <w:p w:rsidR="00000000" w:rsidDel="00000000" w:rsidP="00000000" w:rsidRDefault="00000000" w:rsidRPr="00000000" w14:paraId="0000002D">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Offering training and mentoring opportunities can help young workers gain new knowledge and skills, as well as learn from the experience and advice of more senior or experienced colleagues or experts. </w:t>
            </w:r>
          </w:p>
          <w:p w:rsidR="00000000" w:rsidDel="00000000" w:rsidP="00000000" w:rsidRDefault="00000000" w:rsidRPr="00000000" w14:paraId="0000002E">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work culture that values learning and respects diversity, encourages collaboration and communication, and fosters trust and mutual support can help young workers feel more confident and comfortable in expressing their ideas, opinions, and concerns, and in seeking and offering help when needed.</w:t>
            </w:r>
          </w:p>
        </w:tc>
        <w:tc>
          <w:tcPr/>
          <w:p w:rsidR="00000000" w:rsidDel="00000000" w:rsidP="00000000" w:rsidRDefault="00000000" w:rsidRPr="00000000" w14:paraId="0000002F">
            <w:pPr>
              <w:spacing w:after="120" w:before="12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30">
            <w:pPr>
              <w:spacing w:after="120" w:before="12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Digital skills</w:t>
            </w:r>
          </w:p>
          <w:p w:rsidR="00000000" w:rsidDel="00000000" w:rsidP="00000000" w:rsidRDefault="00000000" w:rsidRPr="00000000" w14:paraId="00000031">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use and understand various digital tools and technologies used in the business context, such as computers, software, internet, social media, and online platforms.</w:t>
            </w:r>
          </w:p>
        </w:tc>
        <w:tc>
          <w:tcPr/>
          <w:p w:rsidR="00000000" w:rsidDel="00000000" w:rsidP="00000000" w:rsidRDefault="00000000" w:rsidRPr="00000000" w14:paraId="00000032">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digital tools and technologies can help young workers enhance their productivity and efficiency, as well as their ability to communicate and collaborate with others, and to effectively use information and resources in a workplace context often for the first time. </w:t>
            </w:r>
          </w:p>
          <w:p w:rsidR="00000000" w:rsidDel="00000000" w:rsidP="00000000" w:rsidRDefault="00000000" w:rsidRPr="00000000" w14:paraId="00000033">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Employers should think about how they can provide training and support on how to use relevant software and tools successfully and responsibly. </w:t>
            </w:r>
          </w:p>
        </w:tc>
        <w:tc>
          <w:tcPr/>
          <w:p w:rsidR="00000000" w:rsidDel="00000000" w:rsidP="00000000" w:rsidRDefault="00000000" w:rsidRPr="00000000" w14:paraId="00000034">
            <w:pPr>
              <w:spacing w:after="120" w:before="12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5">
      <w:pPr>
        <w:spacing w:line="276" w:lineRule="auto"/>
        <w:rPr>
          <w:rFonts w:ascii="Arial" w:cs="Arial" w:eastAsia="Arial" w:hAnsi="Arial"/>
          <w:sz w:val="24"/>
          <w:szCs w:val="24"/>
        </w:rPr>
        <w:sectPr>
          <w:headerReference r:id="rId7" w:type="default"/>
          <w:footerReference r:id="rId8" w:type="default"/>
          <w:pgSz w:h="11906" w:w="16838"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4"/>
        <w:tblW w:w="14091.0" w:type="dxa"/>
        <w:jc w:val="left"/>
        <w:tblBorders>
          <w:top w:color="765ab0" w:space="0" w:sz="8" w:val="single"/>
          <w:left w:color="765ab0" w:space="0" w:sz="8" w:val="single"/>
          <w:bottom w:color="765ab0" w:space="0" w:sz="8" w:val="single"/>
          <w:right w:color="765ab0" w:space="0" w:sz="8" w:val="single"/>
          <w:insideH w:color="765ab0" w:space="0" w:sz="8" w:val="single"/>
          <w:insideV w:color="765ab0" w:space="0" w:sz="8" w:val="single"/>
        </w:tblBorders>
        <w:tblLayout w:type="fixed"/>
        <w:tblLook w:val="0400"/>
      </w:tblPr>
      <w:tblGrid>
        <w:gridCol w:w="5377"/>
        <w:gridCol w:w="1485"/>
        <w:gridCol w:w="358"/>
        <w:gridCol w:w="5415"/>
        <w:gridCol w:w="1456"/>
        <w:tblGridChange w:id="0">
          <w:tblGrid>
            <w:gridCol w:w="5377"/>
            <w:gridCol w:w="1485"/>
            <w:gridCol w:w="358"/>
            <w:gridCol w:w="5415"/>
            <w:gridCol w:w="1456"/>
          </w:tblGrid>
        </w:tblGridChange>
      </w:tblGrid>
      <w:tr>
        <w:trPr>
          <w:cantSplit w:val="1"/>
          <w:tblHeader w:val="1"/>
        </w:trPr>
        <w:tc>
          <w:tcPr/>
          <w:p w:rsidR="00000000" w:rsidDel="00000000" w:rsidP="00000000" w:rsidRDefault="00000000" w:rsidRPr="00000000" w14:paraId="00000037">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 Level Core Skills</w:t>
            </w:r>
          </w:p>
          <w:p w:rsidR="00000000" w:rsidDel="00000000" w:rsidP="00000000" w:rsidRDefault="00000000" w:rsidRPr="00000000" w14:paraId="00000038">
            <w:pPr>
              <w:spacing w:line="276" w:lineRule="auto"/>
              <w:jc w:val="center"/>
              <w:rPr>
                <w:rFonts w:ascii="Arial" w:cs="Arial" w:eastAsia="Arial" w:hAnsi="Arial"/>
                <w:b w:val="1"/>
                <w:color w:val="765ab0"/>
                <w:sz w:val="24"/>
                <w:szCs w:val="24"/>
              </w:rPr>
            </w:pPr>
            <w:r w:rsidDel="00000000" w:rsidR="00000000" w:rsidRPr="00000000">
              <w:rPr>
                <w:rFonts w:ascii="Arial" w:cs="Arial" w:eastAsia="Arial" w:hAnsi="Arial"/>
                <w:b w:val="1"/>
                <w:color w:val="765ab0"/>
                <w:sz w:val="24"/>
                <w:szCs w:val="24"/>
                <w:rtl w:val="0"/>
              </w:rPr>
              <w:t xml:space="preserve">DIGITAL PRODUCTION, DESIGN AND DEVELOPMENT</w:t>
            </w:r>
          </w:p>
        </w:tc>
        <w:tc>
          <w:tcPr/>
          <w:p w:rsidR="00000000" w:rsidDel="00000000" w:rsidP="00000000" w:rsidRDefault="00000000" w:rsidRPr="00000000" w14:paraId="00000039">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Opportunities</w:t>
            </w:r>
          </w:p>
          <w:p w:rsidR="00000000" w:rsidDel="00000000" w:rsidP="00000000" w:rsidRDefault="00000000" w:rsidRPr="00000000" w14:paraId="0000003A">
            <w:pPr>
              <w:spacing w:line="276" w:lineRule="auto"/>
              <w:jc w:val="center"/>
              <w:rPr>
                <w:rFonts w:ascii="Arial" w:cs="Arial" w:eastAsia="Arial" w:hAnsi="Arial"/>
                <w:b w:val="1"/>
                <w:sz w:val="28"/>
                <w:szCs w:val="28"/>
              </w:rPr>
            </w:pPr>
            <w:r w:rsidDel="00000000" w:rsidR="00000000" w:rsidRPr="00000000">
              <w:rPr>
                <w:rFonts w:ascii="Arial" w:cs="Arial" w:eastAsia="Arial" w:hAnsi="Arial"/>
                <w:sz w:val="18"/>
                <w:szCs w:val="18"/>
                <w:rtl w:val="0"/>
              </w:rPr>
              <w:t xml:space="preserve">Y / N / Maybe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B">
            <w:pPr>
              <w:spacing w:line="276"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C">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Occupational Specialism</w:t>
            </w:r>
          </w:p>
          <w:p w:rsidR="00000000" w:rsidDel="00000000" w:rsidP="00000000" w:rsidRDefault="00000000" w:rsidRPr="00000000" w14:paraId="0000003D">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color w:val="765ab0"/>
                <w:sz w:val="24"/>
                <w:szCs w:val="24"/>
                <w:rtl w:val="0"/>
              </w:rPr>
              <w:t xml:space="preserve">DIGITAL PRODUCTION, DESIGN AND DEVELOPMENT</w:t>
            </w:r>
            <w:r w:rsidDel="00000000" w:rsidR="00000000" w:rsidRPr="00000000">
              <w:rPr>
                <w:rtl w:val="0"/>
              </w:rPr>
            </w:r>
          </w:p>
        </w:tc>
        <w:tc>
          <w:tcPr/>
          <w:p w:rsidR="00000000" w:rsidDel="00000000" w:rsidP="00000000" w:rsidRDefault="00000000" w:rsidRPr="00000000" w14:paraId="0000003E">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Opportunities</w:t>
            </w:r>
          </w:p>
          <w:p w:rsidR="00000000" w:rsidDel="00000000" w:rsidP="00000000" w:rsidRDefault="00000000" w:rsidRPr="00000000" w14:paraId="0000003F">
            <w:pPr>
              <w:spacing w:line="276" w:lineRule="auto"/>
              <w:jc w:val="center"/>
              <w:rPr>
                <w:rFonts w:ascii="Arial" w:cs="Arial" w:eastAsia="Arial" w:hAnsi="Arial"/>
                <w:b w:val="1"/>
                <w:sz w:val="28"/>
                <w:szCs w:val="28"/>
              </w:rPr>
            </w:pPr>
            <w:r w:rsidDel="00000000" w:rsidR="00000000" w:rsidRPr="00000000">
              <w:rPr>
                <w:rFonts w:ascii="Arial" w:cs="Arial" w:eastAsia="Arial" w:hAnsi="Arial"/>
                <w:sz w:val="18"/>
                <w:szCs w:val="18"/>
                <w:rtl w:val="0"/>
              </w:rPr>
              <w:t xml:space="preserve">Y / N / Maybe</w:t>
            </w:r>
            <w:r w:rsidDel="00000000" w:rsidR="00000000" w:rsidRPr="00000000">
              <w:rPr>
                <w:rtl w:val="0"/>
              </w:rPr>
            </w:r>
          </w:p>
          <w:p w:rsidR="00000000" w:rsidDel="00000000" w:rsidP="00000000" w:rsidRDefault="00000000" w:rsidRPr="00000000" w14:paraId="00000040">
            <w:pPr>
              <w:spacing w:line="276" w:lineRule="auto"/>
              <w:jc w:val="center"/>
              <w:rPr>
                <w:rFonts w:ascii="Arial" w:cs="Arial" w:eastAsia="Arial" w:hAnsi="Arial"/>
                <w:sz w:val="16"/>
                <w:szCs w:val="16"/>
              </w:rPr>
            </w:pPr>
            <w:r w:rsidDel="00000000" w:rsidR="00000000" w:rsidRPr="00000000">
              <w:rPr>
                <w:rtl w:val="0"/>
              </w:rPr>
            </w:r>
          </w:p>
        </w:tc>
      </w:tr>
      <w:tr>
        <w:trPr>
          <w:cantSplit w:val="1"/>
          <w:tblHeader w:val="0"/>
        </w:trPr>
        <w:tc>
          <w:tcPr/>
          <w:p w:rsidR="00000000" w:rsidDel="00000000" w:rsidP="00000000" w:rsidRDefault="00000000" w:rsidRPr="00000000" w14:paraId="00000041">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Communication, e.g., share information clearly with a technical and non-technical audience.</w:t>
            </w:r>
          </w:p>
          <w:p w:rsidR="00000000" w:rsidDel="00000000" w:rsidP="00000000" w:rsidRDefault="00000000" w:rsidRPr="00000000" w14:paraId="00000042">
            <w:pPr>
              <w:spacing w:after="60" w:before="6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4">
            <w:pPr>
              <w:spacing w:after="60" w:before="60" w:line="276" w:lineRule="auto"/>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5">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Analyse a problem to define requirements and acceptance criteria aligned to user needs, e.g., problems from the perspective of a user, defining functional and non-functional requirements.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spacing w:after="60" w:before="6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Teamwork, e.g., work with others in a collaborative manner to allow for / encourage faster, better and more efficient achievement of goals.</w:t>
            </w:r>
          </w:p>
          <w:p w:rsidR="00000000" w:rsidDel="00000000" w:rsidP="00000000" w:rsidRDefault="00000000" w:rsidRPr="00000000" w14:paraId="0000004A">
            <w:pPr>
              <w:spacing w:after="60" w:before="60" w:line="276" w:lineRule="auto"/>
              <w:rPr/>
            </w:pPr>
            <w:r w:rsidDel="00000000" w:rsidR="00000000" w:rsidRPr="00000000">
              <w:rPr>
                <w:rtl w:val="0"/>
              </w:rPr>
            </w:r>
          </w:p>
        </w:tc>
        <w:tc>
          <w:tcPr/>
          <w:p w:rsidR="00000000" w:rsidDel="00000000" w:rsidP="00000000" w:rsidRDefault="00000000" w:rsidRPr="00000000" w14:paraId="0000004B">
            <w:pPr>
              <w:spacing w:after="60" w:before="60" w:line="276" w:lineRule="auto"/>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C">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D">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 secure code in at least two appropriate languages of different types which is maintainable, readable, functional.</w:t>
            </w:r>
          </w:p>
          <w:p w:rsidR="00000000" w:rsidDel="00000000" w:rsidP="00000000" w:rsidRDefault="00000000" w:rsidRPr="00000000" w14:paraId="0000004E">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F">
            <w:pPr>
              <w:spacing w:after="60" w:before="6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Problem-solving, e.g., apply a logical approach to solving problems, identifying, and fixing defects and proposing software solutions.</w:t>
            </w:r>
          </w:p>
          <w:p w:rsidR="00000000" w:rsidDel="00000000" w:rsidP="00000000" w:rsidRDefault="00000000" w:rsidRPr="00000000" w14:paraId="00000051">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2">
            <w:pPr>
              <w:spacing w:after="60" w:before="60" w:line="276" w:lineRule="auto"/>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3">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4">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 systems including User Interface, Database, Service, Persistence, Web, Simple, Layered systems.</w:t>
            </w:r>
          </w:p>
          <w:p w:rsidR="00000000" w:rsidDel="00000000" w:rsidP="00000000" w:rsidRDefault="00000000" w:rsidRPr="00000000" w14:paraId="00000055">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6">
            <w:pPr>
              <w:spacing w:after="60" w:before="6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57">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Security aware, e.g., ensure software development activity mitigates risks to security.</w:t>
            </w:r>
          </w:p>
          <w:p w:rsidR="00000000" w:rsidDel="00000000" w:rsidP="00000000" w:rsidRDefault="00000000" w:rsidRPr="00000000" w14:paraId="00000058">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9">
            <w:pPr>
              <w:spacing w:after="60" w:before="60" w:line="276" w:lineRule="auto"/>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A">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B">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a test, describing the scope, approach, resources, and schedule of intended test activities to clarify what needs to be done to test a system.</w:t>
            </w:r>
          </w:p>
          <w:p w:rsidR="00000000" w:rsidDel="00000000" w:rsidP="00000000" w:rsidRDefault="00000000" w:rsidRPr="00000000" w14:paraId="0000005C">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 a test plan to show that a test plan is implementable in practice and implementation conforms to the plan.</w:t>
            </w:r>
          </w:p>
          <w:p w:rsidR="00000000" w:rsidDel="00000000" w:rsidP="00000000" w:rsidRDefault="00000000" w:rsidRPr="00000000" w14:paraId="0000005D">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E">
            <w:pPr>
              <w:spacing w:after="60" w:before="6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5F">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Apply reflective evaluation and engage in the importance of continuous learning. </w:t>
            </w:r>
          </w:p>
          <w:p w:rsidR="00000000" w:rsidDel="00000000" w:rsidP="00000000" w:rsidRDefault="00000000" w:rsidRPr="00000000" w14:paraId="00000060">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1">
            <w:pPr>
              <w:spacing w:after="60" w:before="60" w:line="276" w:lineRule="auto"/>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2">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3">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collaboration tools and technologies for source and version control to enable working together on common projects, regardless of physical location, e.g., BlueJeans, Broadview,</w:t>
            </w:r>
          </w:p>
          <w:p w:rsidR="00000000" w:rsidDel="00000000" w:rsidP="00000000" w:rsidRDefault="00000000" w:rsidRPr="00000000" w14:paraId="00000064">
            <w:pPr>
              <w:spacing w:after="60" w:before="6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Network Office Suite, and Cisco WebEx.</w:t>
            </w:r>
          </w:p>
          <w:p w:rsidR="00000000" w:rsidDel="00000000" w:rsidP="00000000" w:rsidRDefault="00000000" w:rsidRPr="00000000" w14:paraId="00000065">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6">
            <w:pPr>
              <w:spacing w:after="60" w:before="60" w:line="276" w:lineRule="auto"/>
              <w:rPr>
                <w:rFonts w:ascii="Arial" w:cs="Arial" w:eastAsia="Arial" w:hAnsi="Arial"/>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67">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8">
            <w:pPr>
              <w:spacing w:after="60" w:before="60" w:line="276" w:lineRule="auto"/>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9">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A">
            <w:pPr>
              <w:spacing w:after="60" w:before="6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B">
            <w:pPr>
              <w:spacing w:after="60" w:before="6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C">
      <w:pPr>
        <w:spacing w:line="276" w:lineRule="auto"/>
        <w:ind w:firstLine="72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8923020" cy="1329436"/>
                <wp:effectExtent b="0" l="0" r="0" t="0"/>
                <wp:wrapNone/>
                <wp:docPr id="1" name=""/>
                <a:graphic>
                  <a:graphicData uri="http://schemas.microsoft.com/office/word/2010/wordprocessingShape">
                    <wps:wsp>
                      <wps:cNvSpPr/>
                      <wps:cNvPr id="2" name="Shape 2"/>
                      <wps:spPr>
                        <a:xfrm>
                          <a:off x="890840" y="3121632"/>
                          <a:ext cx="8910320" cy="1316736"/>
                        </a:xfrm>
                        <a:prstGeom prst="rect">
                          <a:avLst/>
                        </a:prstGeom>
                        <a:solidFill>
                          <a:schemeClr val="lt1"/>
                        </a:solidFill>
                        <a:ln cap="flat" cmpd="sng" w="12700">
                          <a:solidFill>
                            <a:srgbClr val="765AB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Space for notes / reminders re: ideas for tasks, resources, or queries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8923020" cy="1329436"/>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923020" cy="1329436"/>
                        </a:xfrm>
                        <a:prstGeom prst="rect"/>
                        <a:ln/>
                      </pic:spPr>
                    </pic:pic>
                  </a:graphicData>
                </a:graphic>
              </wp:anchor>
            </w:drawing>
          </mc:Fallback>
        </mc:AlternateContent>
      </w:r>
    </w:p>
    <w:p w:rsidR="00000000" w:rsidDel="00000000" w:rsidP="00000000" w:rsidRDefault="00000000" w:rsidRPr="00000000" w14:paraId="0000006D">
      <w:pPr>
        <w:spacing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Notes</w:t>
      </w:r>
    </w:p>
    <w:sectPr>
      <w:type w:val="nextPage"/>
      <w:pgSz w:h="11906" w:w="16838"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9694" cy="299391"/>
          <wp:effectExtent b="0" l="0" r="0" t="0"/>
          <wp:docPr descr="A black background with a black square&#10;&#10;Description automatically generated with medium confidence" id="3" name="image2.png"/>
          <a:graphic>
            <a:graphicData uri="http://schemas.openxmlformats.org/drawingml/2006/picture">
              <pic:pic>
                <pic:nvPicPr>
                  <pic:cNvPr descr="A black background with a black square&#10;&#10;Description automatically generated with medium confidence" id="0" name="image2.png"/>
                  <pic:cNvPicPr preferRelativeResize="0"/>
                </pic:nvPicPr>
                <pic:blipFill>
                  <a:blip r:embed="rId1"/>
                  <a:srcRect b="0" l="0" r="0" t="0"/>
                  <a:stretch>
                    <a:fillRect/>
                  </a:stretch>
                </pic:blipFill>
                <pic:spPr>
                  <a:xfrm>
                    <a:off x="0" y="0"/>
                    <a:ext cx="859694" cy="29939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pacing w:line="276" w:lineRule="auto"/>
      <w:rPr>
        <w:rFonts w:ascii="Arial" w:cs="Arial" w:eastAsia="Arial" w:hAnsi="Arial"/>
        <w:b w:val="1"/>
        <w:color w:val="765ab0"/>
        <w:sz w:val="40"/>
        <w:szCs w:val="40"/>
      </w:rPr>
    </w:pPr>
    <w:r w:rsidDel="00000000" w:rsidR="00000000" w:rsidRPr="00000000">
      <w:rPr>
        <w:rFonts w:ascii="Arial" w:cs="Arial" w:eastAsia="Arial" w:hAnsi="Arial"/>
        <w:b w:val="1"/>
        <w:color w:val="765ab0"/>
        <w:sz w:val="40"/>
        <w:szCs w:val="40"/>
        <w:rtl w:val="0"/>
      </w:rPr>
      <w:t xml:space="preserve">TYPICAL TASKS CHECKLIST</w:t>
    </w:r>
    <w:r w:rsidDel="00000000" w:rsidR="00000000" w:rsidRPr="00000000">
      <w:drawing>
        <wp:anchor allowOverlap="1" behindDoc="0" distB="0" distT="0" distL="114300" distR="114300" hidden="0" layoutInCell="1" locked="0" relativeHeight="0" simplePos="0">
          <wp:simplePos x="0" y="0"/>
          <wp:positionH relativeFrom="column">
            <wp:posOffset>7498352</wp:posOffset>
          </wp:positionH>
          <wp:positionV relativeFrom="paragraph">
            <wp:posOffset>-56514</wp:posOffset>
          </wp:positionV>
          <wp:extent cx="1862455" cy="607695"/>
          <wp:effectExtent b="0" l="0" r="0" t="0"/>
          <wp:wrapSquare wrapText="bothSides" distB="0" distT="0" distL="114300" distR="114300"/>
          <wp:docPr descr="A purple text on a black background&#10;&#10;Description automatically generated" id="2" name="image1.png"/>
          <a:graphic>
            <a:graphicData uri="http://schemas.openxmlformats.org/drawingml/2006/picture">
              <pic:pic>
                <pic:nvPicPr>
                  <pic:cNvPr descr="A purple text on a black background&#10;&#10;Description automatically generated" id="0" name="image1.png"/>
                  <pic:cNvPicPr preferRelativeResize="0"/>
                </pic:nvPicPr>
                <pic:blipFill>
                  <a:blip r:embed="rId1"/>
                  <a:srcRect b="0" l="0" r="0" t="0"/>
                  <a:stretch>
                    <a:fillRect/>
                  </a:stretch>
                </pic:blipFill>
                <pic:spPr>
                  <a:xfrm>
                    <a:off x="0" y="0"/>
                    <a:ext cx="1862455" cy="607695"/>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instituteforapprenticeships.org/qualifications/t-levels/approved-t-level-technical-qualifications-and-final-outline-content/final-outline-content/"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0x0101002E4F55405569884AB0A124CA152463B3</vt:lpwstr>
  </property>
  <property fmtid="{D5CDD505-2E9C-101B-9397-08002B2CF9AE}" pid="3" name="MediaServiceImageTags">
    <vt:lpwstr>MediaServiceImageTags</vt:lpwstr>
  </property>
</Properties>
</file>