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2A23C" w14:textId="08FDCA44" w:rsidR="00F25C4C" w:rsidRDefault="00217AD3">
      <w:r>
        <w:t>EVA Sectors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97"/>
        <w:gridCol w:w="2431"/>
        <w:gridCol w:w="3053"/>
      </w:tblGrid>
      <w:tr w:rsidR="0030772F" w14:paraId="16D94AE9" w14:textId="77777777" w:rsidTr="0030772F">
        <w:tc>
          <w:tcPr>
            <w:tcW w:w="1335" w:type="dxa"/>
          </w:tcPr>
          <w:p w14:paraId="1A83CAAF" w14:textId="7A4FFF91" w:rsidR="0030772F" w:rsidRDefault="0030772F">
            <w:r>
              <w:t>Sector</w:t>
            </w:r>
          </w:p>
        </w:tc>
        <w:tc>
          <w:tcPr>
            <w:tcW w:w="2197" w:type="dxa"/>
          </w:tcPr>
          <w:p w14:paraId="1CA0696E" w14:textId="7FBC9CE1" w:rsidR="0030772F" w:rsidRDefault="0030772F">
            <w:r>
              <w:t>Global Programmes</w:t>
            </w:r>
          </w:p>
        </w:tc>
        <w:tc>
          <w:tcPr>
            <w:tcW w:w="2431" w:type="dxa"/>
          </w:tcPr>
          <w:p w14:paraId="2F927DF7" w14:textId="465C5DB9" w:rsidR="0030772F" w:rsidRDefault="0030772F">
            <w:r>
              <w:t>Key Projects</w:t>
            </w:r>
            <w:r w:rsidR="00CC450C">
              <w:t xml:space="preserve"> (current or past</w:t>
            </w:r>
            <w:r w:rsidR="001419C7">
              <w:t>. Note this is not</w:t>
            </w:r>
            <w:r w:rsidR="00696B86">
              <w:t xml:space="preserve"> an</w:t>
            </w:r>
            <w:r w:rsidR="001419C7">
              <w:t xml:space="preserve"> exhaustive list</w:t>
            </w:r>
            <w:r w:rsidR="00696B86">
              <w:t>, but should be a decent starting point</w:t>
            </w:r>
            <w:r w:rsidR="00CC450C">
              <w:t>)</w:t>
            </w:r>
          </w:p>
        </w:tc>
        <w:tc>
          <w:tcPr>
            <w:tcW w:w="3053" w:type="dxa"/>
          </w:tcPr>
          <w:p w14:paraId="4D0368D3" w14:textId="2B6EF3FF" w:rsidR="0030772F" w:rsidRDefault="0030772F">
            <w:r>
              <w:t xml:space="preserve">Key words </w:t>
            </w:r>
            <w:r w:rsidR="00C00ADD">
              <w:t>associated with the sector</w:t>
            </w:r>
            <w:r w:rsidR="00696B86">
              <w:t xml:space="preserve"> (note that these words can be associated with multiple sectors, so I would not suggest weighing this heavily) </w:t>
            </w:r>
          </w:p>
        </w:tc>
      </w:tr>
      <w:tr w:rsidR="0030772F" w14:paraId="1A30E350" w14:textId="77777777" w:rsidTr="0030772F">
        <w:tc>
          <w:tcPr>
            <w:tcW w:w="1335" w:type="dxa"/>
          </w:tcPr>
          <w:p w14:paraId="6CDF6D16" w14:textId="58B261AB" w:rsidR="0030772F" w:rsidRDefault="0030772F">
            <w:r>
              <w:t>Arts</w:t>
            </w:r>
          </w:p>
        </w:tc>
        <w:tc>
          <w:tcPr>
            <w:tcW w:w="2197" w:type="dxa"/>
          </w:tcPr>
          <w:p w14:paraId="6AEC9747" w14:textId="2365AECC" w:rsidR="0030772F" w:rsidRDefault="0030772F">
            <w:r>
              <w:t>Culture Connects, Spotlights on Culture, Creative Economy, Culture Responds</w:t>
            </w:r>
          </w:p>
        </w:tc>
        <w:tc>
          <w:tcPr>
            <w:tcW w:w="2431" w:type="dxa"/>
          </w:tcPr>
          <w:p w14:paraId="3EAAED43" w14:textId="471D6B48" w:rsidR="0030772F" w:rsidRDefault="0030772F">
            <w:r>
              <w:t xml:space="preserve">Venice </w:t>
            </w:r>
            <w:proofErr w:type="spellStart"/>
            <w:r>
              <w:t>Binnale</w:t>
            </w:r>
            <w:proofErr w:type="spellEnd"/>
            <w:r w:rsidR="00153983">
              <w:t xml:space="preserve"> (Biennale di Venezia), </w:t>
            </w:r>
            <w:r w:rsidR="000D07A6">
              <w:t xml:space="preserve">Venice Fellowship, Connections through Culture, </w:t>
            </w:r>
            <w:r w:rsidR="004E6C26">
              <w:t xml:space="preserve">Cultural Bridge, </w:t>
            </w:r>
            <w:r>
              <w:t>Seasons, Festivals</w:t>
            </w:r>
            <w:r>
              <w:t xml:space="preserve">, City of Culture, </w:t>
            </w:r>
            <w:r w:rsidR="00CC450C">
              <w:t>Eurovision</w:t>
            </w:r>
            <w:r w:rsidR="00153983">
              <w:t xml:space="preserve">, Flux, </w:t>
            </w:r>
            <w:proofErr w:type="spellStart"/>
            <w:r w:rsidR="00153983">
              <w:t>Diaphonique</w:t>
            </w:r>
            <w:proofErr w:type="spellEnd"/>
            <w:r w:rsidR="00167412">
              <w:t>, Selector Radio, Cultural Protection Fund, International Collaboration Grants (ICGs), Cultural Heritage for Inclusive Growth (CH4IG)</w:t>
            </w:r>
            <w:r w:rsidR="00137F88">
              <w:t xml:space="preserve">, Five Films for Freedom, British Council Collection, Unlimited, </w:t>
            </w:r>
            <w:r w:rsidR="00D0161D">
              <w:t>Women of the World (WOW)</w:t>
            </w:r>
            <w:r w:rsidR="00BC3F94">
              <w:t xml:space="preserve">, New Voices, </w:t>
            </w:r>
            <w:r w:rsidR="000E178D">
              <w:t>Creative Europe, International Collaboration Programme (ICP)</w:t>
            </w:r>
            <w:r w:rsidR="00AD1ECB">
              <w:t>, Digital Collaboration Fund</w:t>
            </w:r>
            <w:r w:rsidR="004E6C26">
              <w:t xml:space="preserve">, </w:t>
            </w:r>
            <w:proofErr w:type="spellStart"/>
            <w:r w:rsidR="004E6C26">
              <w:t>Re-stART</w:t>
            </w:r>
            <w:proofErr w:type="spellEnd"/>
            <w:r w:rsidR="004E6C26">
              <w:t xml:space="preserve"> (Re</w:t>
            </w:r>
            <w:r w:rsidR="002134CC">
              <w:t xml:space="preserve">-connecting and </w:t>
            </w:r>
            <w:r w:rsidR="00D22B58">
              <w:t xml:space="preserve">Re-skilling Societies through the Arts), Backstage to the Future, Creative Leadership Programme, </w:t>
            </w:r>
            <w:r w:rsidR="009668D6">
              <w:t>In our hands, Circular Culture (Circular Cultura), International Mu</w:t>
            </w:r>
            <w:r w:rsidR="001419C7">
              <w:t xml:space="preserve">seum Academy, Culture Responds to Global Challenges, </w:t>
            </w:r>
          </w:p>
        </w:tc>
        <w:tc>
          <w:tcPr>
            <w:tcW w:w="3053" w:type="dxa"/>
          </w:tcPr>
          <w:p w14:paraId="5268D143" w14:textId="3719AB0F" w:rsidR="0030772F" w:rsidRDefault="0030772F">
            <w:r>
              <w:t xml:space="preserve">Art, culture, creative, creative industry, architecture, </w:t>
            </w:r>
            <w:r w:rsidR="00326864">
              <w:t>design, fashion, film, literature, music, theatre</w:t>
            </w:r>
            <w:r w:rsidR="00972BD8">
              <w:t xml:space="preserve">, dance, visual arts, </w:t>
            </w:r>
            <w:r w:rsidR="00CA1D23">
              <w:t xml:space="preserve">arts residency, museums, creatives, </w:t>
            </w:r>
            <w:r w:rsidR="00BC3F94">
              <w:t>pavilion</w:t>
            </w:r>
          </w:p>
        </w:tc>
      </w:tr>
      <w:tr w:rsidR="0030772F" w14:paraId="5D177A3F" w14:textId="77777777" w:rsidTr="0030772F">
        <w:tc>
          <w:tcPr>
            <w:tcW w:w="1335" w:type="dxa"/>
          </w:tcPr>
          <w:p w14:paraId="291B8179" w14:textId="7FC9C12A" w:rsidR="0030772F" w:rsidRDefault="0030772F">
            <w:r>
              <w:t>Education</w:t>
            </w:r>
          </w:p>
        </w:tc>
        <w:tc>
          <w:tcPr>
            <w:tcW w:w="2197" w:type="dxa"/>
          </w:tcPr>
          <w:p w14:paraId="1A36AE56" w14:textId="199BD905" w:rsidR="0030772F" w:rsidRDefault="0030772F">
            <w:r w:rsidRPr="001E1B8E">
              <w:t>International Student Mobility and Marketing (ISMM)</w:t>
            </w:r>
            <w:r>
              <w:t xml:space="preserve">, Alumni UK, Schools </w:t>
            </w:r>
            <w:r>
              <w:lastRenderedPageBreak/>
              <w:t>Connect UK, Going Global Partnerships (GGP), Insight and Engagement (I&amp;E), Youth Connect</w:t>
            </w:r>
          </w:p>
        </w:tc>
        <w:tc>
          <w:tcPr>
            <w:tcW w:w="2431" w:type="dxa"/>
          </w:tcPr>
          <w:p w14:paraId="493EB913" w14:textId="4F2D0E5E" w:rsidR="0030772F" w:rsidRDefault="0000491E">
            <w:proofErr w:type="spellStart"/>
            <w:r>
              <w:lastRenderedPageBreak/>
              <w:t>Premire</w:t>
            </w:r>
            <w:proofErr w:type="spellEnd"/>
            <w:r>
              <w:t xml:space="preserve"> Skills, Connecting Classrooms, </w:t>
            </w:r>
            <w:r w:rsidR="00271C1F">
              <w:t xml:space="preserve">Education Hubs, </w:t>
            </w:r>
            <w:r w:rsidR="00D617C9">
              <w:t xml:space="preserve">Agent Quality </w:t>
            </w:r>
            <w:r w:rsidR="00D617C9">
              <w:lastRenderedPageBreak/>
              <w:t xml:space="preserve">Framework (AQF), </w:t>
            </w:r>
            <w:r w:rsidR="001D3257">
              <w:t xml:space="preserve">Education Gateway, </w:t>
            </w:r>
            <w:r w:rsidR="009E5D48">
              <w:t xml:space="preserve">Going Global Conference, Modest Collaborative Research Grants, </w:t>
            </w:r>
            <w:r w:rsidR="00646F38">
              <w:t xml:space="preserve">GEDI, </w:t>
            </w:r>
            <w:proofErr w:type="spellStart"/>
            <w:r w:rsidR="00646F38">
              <w:t>Dakchyata</w:t>
            </w:r>
            <w:proofErr w:type="spellEnd"/>
            <w:r w:rsidR="00646F38">
              <w:t>, Women in Stem (</w:t>
            </w:r>
            <w:proofErr w:type="spellStart"/>
            <w:r w:rsidR="00646F38">
              <w:t>WiS</w:t>
            </w:r>
            <w:proofErr w:type="spellEnd"/>
            <w:r w:rsidR="00646F38">
              <w:t xml:space="preserve">), Innovation for African Universities, </w:t>
            </w:r>
            <w:r w:rsidR="00FE5607">
              <w:t xml:space="preserve">Higher Education Partnerships Programme (HEPP), Women in Science Programme, </w:t>
            </w:r>
            <w:r w:rsidR="002C466A">
              <w:t>Mentors in Science, Education Insights Hub,</w:t>
            </w:r>
            <w:r w:rsidR="00113992">
              <w:t xml:space="preserve"> Platforms for Dialogue, Active Citizens, </w:t>
            </w:r>
            <w:proofErr w:type="spellStart"/>
            <w:r w:rsidR="00A7402E">
              <w:t>MyJustice</w:t>
            </w:r>
            <w:proofErr w:type="spellEnd"/>
            <w:r w:rsidR="00A7402E">
              <w:t xml:space="preserve">, Stronger Together, </w:t>
            </w:r>
            <w:r w:rsidR="00AA78BA">
              <w:t>21</w:t>
            </w:r>
            <w:r w:rsidR="00AA78BA" w:rsidRPr="00AA78BA">
              <w:rPr>
                <w:vertAlign w:val="superscript"/>
              </w:rPr>
              <w:t>st</w:t>
            </w:r>
            <w:r w:rsidR="00AA78BA">
              <w:t xml:space="preserve"> Century Schools, XXI Century Skills, </w:t>
            </w:r>
            <w:r w:rsidR="00E74C5B">
              <w:t xml:space="preserve">2ist Century teachers, </w:t>
            </w:r>
            <w:r w:rsidR="00AA78BA">
              <w:t xml:space="preserve">Coding for Kids, </w:t>
            </w:r>
            <w:r w:rsidR="000E178D">
              <w:t>Erasmus+, Horizon 2020, Erasmus Mundus</w:t>
            </w:r>
            <w:r w:rsidR="00FE3D90">
              <w:t>, Bilingual Education Programme Spain (BEP)</w:t>
            </w:r>
            <w:r w:rsidR="002E0108">
              <w:t xml:space="preserve">, Support to </w:t>
            </w:r>
            <w:proofErr w:type="spellStart"/>
            <w:r w:rsidR="002E0108">
              <w:t>Cirricular</w:t>
            </w:r>
            <w:proofErr w:type="spellEnd"/>
            <w:r w:rsidR="002E0108">
              <w:t xml:space="preserve"> Reform, Inclusive Schools </w:t>
            </w:r>
          </w:p>
        </w:tc>
        <w:tc>
          <w:tcPr>
            <w:tcW w:w="3053" w:type="dxa"/>
          </w:tcPr>
          <w:p w14:paraId="1F42B49C" w14:textId="7ED36715" w:rsidR="0030772F" w:rsidRDefault="00D952A7">
            <w:r>
              <w:lastRenderedPageBreak/>
              <w:t xml:space="preserve">Schools, ministry of education, higher education, science, academics, researchers, non-formal </w:t>
            </w:r>
            <w:r>
              <w:lastRenderedPageBreak/>
              <w:t>education (NFE)</w:t>
            </w:r>
            <w:r w:rsidR="00C00ADD">
              <w:t xml:space="preserve">, agents, </w:t>
            </w:r>
            <w:r w:rsidR="00F44DB4">
              <w:t>counsellors</w:t>
            </w:r>
            <w:r w:rsidR="00C00ADD">
              <w:t>,</w:t>
            </w:r>
            <w:r w:rsidR="00F44DB4">
              <w:t xml:space="preserve"> hubs, accreditation, Education World Forum (EWF)</w:t>
            </w:r>
            <w:r w:rsidR="0000491E">
              <w:t xml:space="preserve"> conference, teachers, school </w:t>
            </w:r>
            <w:proofErr w:type="gramStart"/>
            <w:r w:rsidR="0000491E">
              <w:t xml:space="preserve">leaders, </w:t>
            </w:r>
            <w:r w:rsidR="00C00ADD">
              <w:t xml:space="preserve"> </w:t>
            </w:r>
            <w:r w:rsidR="007C4C68">
              <w:t>TVET</w:t>
            </w:r>
            <w:proofErr w:type="gramEnd"/>
            <w:r w:rsidR="007C4C68">
              <w:t>, alumni</w:t>
            </w:r>
            <w:r w:rsidR="00546591">
              <w:t xml:space="preserve">, </w:t>
            </w:r>
            <w:r w:rsidR="000D0557">
              <w:t>university</w:t>
            </w:r>
            <w:r w:rsidR="00D93096">
              <w:t>, teacher, student</w:t>
            </w:r>
            <w:r w:rsidR="001D3257">
              <w:t>, STEM</w:t>
            </w:r>
            <w:r w:rsidR="000E178D">
              <w:t>, Erasmus</w:t>
            </w:r>
          </w:p>
        </w:tc>
      </w:tr>
      <w:tr w:rsidR="0030772F" w14:paraId="292B0A06" w14:textId="77777777" w:rsidTr="0030772F">
        <w:tc>
          <w:tcPr>
            <w:tcW w:w="1335" w:type="dxa"/>
          </w:tcPr>
          <w:p w14:paraId="68B997DA" w14:textId="1B79EA82" w:rsidR="0030772F" w:rsidRDefault="0030772F">
            <w:r>
              <w:t>English</w:t>
            </w:r>
          </w:p>
        </w:tc>
        <w:tc>
          <w:tcPr>
            <w:tcW w:w="2197" w:type="dxa"/>
          </w:tcPr>
          <w:p w14:paraId="64344352" w14:textId="119BED7E" w:rsidR="0030772F" w:rsidRDefault="0030772F">
            <w:r>
              <w:t>School Systems, Empowerment, English Connects</w:t>
            </w:r>
          </w:p>
        </w:tc>
        <w:tc>
          <w:tcPr>
            <w:tcW w:w="2431" w:type="dxa"/>
          </w:tcPr>
          <w:p w14:paraId="7F0601B8" w14:textId="53FC48FE" w:rsidR="0030772F" w:rsidRDefault="005E4E38">
            <w:r>
              <w:t>English and Digital for Girls’ Education (</w:t>
            </w:r>
            <w:r w:rsidR="00D24D06">
              <w:t>EDGE</w:t>
            </w:r>
            <w:r>
              <w:t>)</w:t>
            </w:r>
            <w:r w:rsidR="00D24D06">
              <w:t xml:space="preserve">, </w:t>
            </w:r>
            <w:r w:rsidR="002D506D">
              <w:t xml:space="preserve">English Language Teaching (ELT) in Education, </w:t>
            </w:r>
            <w:r w:rsidR="000229DB">
              <w:t xml:space="preserve">English without Boarders, English as a Subject for Teachers and Educators (EaSTE), </w:t>
            </w:r>
            <w:proofErr w:type="spellStart"/>
            <w:r w:rsidR="000229DB">
              <w:t>Ceibal</w:t>
            </w:r>
            <w:proofErr w:type="spellEnd"/>
            <w:r w:rsidR="000229DB">
              <w:t xml:space="preserve"> </w:t>
            </w:r>
            <w:proofErr w:type="spellStart"/>
            <w:r w:rsidR="000229DB">
              <w:t>en</w:t>
            </w:r>
            <w:proofErr w:type="spellEnd"/>
            <w:r w:rsidR="000229DB">
              <w:t xml:space="preserve"> Ingles, </w:t>
            </w:r>
            <w:r w:rsidR="00D93096">
              <w:t>Future English, English Together, Online Teacher Community, Teaching for Success</w:t>
            </w:r>
            <w:r w:rsidR="00D168B5">
              <w:t xml:space="preserve">, Teacher Activity Groups (TAG), </w:t>
            </w:r>
            <w:r w:rsidR="00111DAB">
              <w:t xml:space="preserve">Managing Conflict in Nigeria (MCN) Partners for Peace, </w:t>
            </w:r>
            <w:r w:rsidR="007849DE">
              <w:t>Community Language support Programme</w:t>
            </w:r>
            <w:r w:rsidR="007849DE">
              <w:t xml:space="preserve"> (CLSP), </w:t>
            </w:r>
            <w:r w:rsidR="007849DE">
              <w:lastRenderedPageBreak/>
              <w:t>Language for Resilience (L4R)</w:t>
            </w:r>
          </w:p>
        </w:tc>
        <w:tc>
          <w:tcPr>
            <w:tcW w:w="3053" w:type="dxa"/>
          </w:tcPr>
          <w:p w14:paraId="330385A6" w14:textId="2D312951" w:rsidR="0030772F" w:rsidRDefault="002D506D">
            <w:r>
              <w:lastRenderedPageBreak/>
              <w:t>Schools, ministry of education</w:t>
            </w:r>
            <w:r w:rsidR="00D93096">
              <w:t>, teacher, English, student</w:t>
            </w:r>
            <w:r w:rsidR="00696B86">
              <w:t>, teacher, teaching</w:t>
            </w:r>
          </w:p>
        </w:tc>
      </w:tr>
      <w:tr w:rsidR="0030772F" w14:paraId="7EBFA86D" w14:textId="77777777" w:rsidTr="0030772F">
        <w:tc>
          <w:tcPr>
            <w:tcW w:w="1335" w:type="dxa"/>
          </w:tcPr>
          <w:p w14:paraId="732C3E0D" w14:textId="4C4DA745" w:rsidR="0030772F" w:rsidRDefault="0030772F">
            <w:r>
              <w:t>Cross</w:t>
            </w:r>
          </w:p>
        </w:tc>
        <w:tc>
          <w:tcPr>
            <w:tcW w:w="2197" w:type="dxa"/>
          </w:tcPr>
          <w:p w14:paraId="515572A0" w14:textId="77777777" w:rsidR="0030772F" w:rsidRDefault="0030772F"/>
        </w:tc>
        <w:tc>
          <w:tcPr>
            <w:tcW w:w="2431" w:type="dxa"/>
          </w:tcPr>
          <w:p w14:paraId="3BDA920A" w14:textId="0695F89B" w:rsidR="0030772F" w:rsidRDefault="00450236">
            <w:r>
              <w:t>COP</w:t>
            </w:r>
            <w:r w:rsidR="00F70FA7">
              <w:t>, Climate Connection Programme</w:t>
            </w:r>
            <w:r w:rsidR="004D4EB1">
              <w:t xml:space="preserve">, Building Agency for Youth in Climate Action (BAYCA), Youth Leadership for Climate Action, </w:t>
            </w:r>
            <w:r w:rsidR="00536E09">
              <w:t>Country Level Evaluation Studies</w:t>
            </w:r>
          </w:p>
        </w:tc>
        <w:tc>
          <w:tcPr>
            <w:tcW w:w="3053" w:type="dxa"/>
          </w:tcPr>
          <w:p w14:paraId="03556992" w14:textId="1A0FF7E2" w:rsidR="0030772F" w:rsidRDefault="00450236">
            <w:r>
              <w:t>N/A</w:t>
            </w:r>
          </w:p>
        </w:tc>
      </w:tr>
      <w:tr w:rsidR="000D0557" w14:paraId="2B043441" w14:textId="77777777" w:rsidTr="0030772F">
        <w:tc>
          <w:tcPr>
            <w:tcW w:w="1335" w:type="dxa"/>
          </w:tcPr>
          <w:p w14:paraId="7D2C250E" w14:textId="5888BB11" w:rsidR="000D0557" w:rsidRDefault="000D0557">
            <w:r>
              <w:t>N/A or other</w:t>
            </w:r>
          </w:p>
        </w:tc>
        <w:tc>
          <w:tcPr>
            <w:tcW w:w="2197" w:type="dxa"/>
          </w:tcPr>
          <w:p w14:paraId="219682A6" w14:textId="048DAC32" w:rsidR="000D0557" w:rsidRDefault="000D0557">
            <w:r>
              <w:t xml:space="preserve">Scholarships, </w:t>
            </w:r>
          </w:p>
        </w:tc>
        <w:tc>
          <w:tcPr>
            <w:tcW w:w="2431" w:type="dxa"/>
          </w:tcPr>
          <w:p w14:paraId="261ED7D3" w14:textId="701364F6" w:rsidR="000D0557" w:rsidRDefault="00685FA7">
            <w:r>
              <w:t xml:space="preserve">Chevening, </w:t>
            </w:r>
            <w:r w:rsidR="00BC2936">
              <w:t xml:space="preserve">AWAAZ II, </w:t>
            </w:r>
            <w:proofErr w:type="spellStart"/>
            <w:r w:rsidR="00BC2936">
              <w:t>Linata</w:t>
            </w:r>
            <w:r w:rsidR="004D4EB1">
              <w:t>awan</w:t>
            </w:r>
            <w:proofErr w:type="spellEnd"/>
            <w:r w:rsidR="00A34A35">
              <w:t xml:space="preserve">, Scotland Pakistan Scholarships for Young Women and Girls, Citizen </w:t>
            </w:r>
            <w:r w:rsidR="001419C7">
              <w:t>Engagement</w:t>
            </w:r>
            <w:r w:rsidR="00A34A35">
              <w:t xml:space="preserve"> and Democracy Support Programme (CEDSP</w:t>
            </w:r>
            <w:r w:rsidR="00AA78BA">
              <w:t>, SCCP2, ESAP3)</w:t>
            </w:r>
            <w:r w:rsidR="00E85910">
              <w:t xml:space="preserve">, </w:t>
            </w:r>
            <w:r w:rsidR="00AD1ECB">
              <w:t>People to People (P2P)</w:t>
            </w:r>
          </w:p>
        </w:tc>
        <w:tc>
          <w:tcPr>
            <w:tcW w:w="3053" w:type="dxa"/>
          </w:tcPr>
          <w:p w14:paraId="084A7201" w14:textId="1ECD484A" w:rsidR="000D0557" w:rsidRDefault="001419C7">
            <w:r>
              <w:t>n/a</w:t>
            </w:r>
          </w:p>
        </w:tc>
      </w:tr>
    </w:tbl>
    <w:p w14:paraId="7B4D5F26" w14:textId="77777777" w:rsidR="00217AD3" w:rsidRDefault="00217AD3"/>
    <w:sectPr w:rsidR="0021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D3"/>
    <w:rsid w:val="0000491E"/>
    <w:rsid w:val="000229DB"/>
    <w:rsid w:val="000D0557"/>
    <w:rsid w:val="000D07A6"/>
    <w:rsid w:val="000E178D"/>
    <w:rsid w:val="00111DAB"/>
    <w:rsid w:val="00113992"/>
    <w:rsid w:val="00137F88"/>
    <w:rsid w:val="001419C7"/>
    <w:rsid w:val="00153983"/>
    <w:rsid w:val="0016342B"/>
    <w:rsid w:val="00167412"/>
    <w:rsid w:val="00167F3B"/>
    <w:rsid w:val="001D3257"/>
    <w:rsid w:val="001E1B8E"/>
    <w:rsid w:val="002134CC"/>
    <w:rsid w:val="00217AD3"/>
    <w:rsid w:val="00271C1F"/>
    <w:rsid w:val="002C466A"/>
    <w:rsid w:val="002D506D"/>
    <w:rsid w:val="002E0108"/>
    <w:rsid w:val="0030772F"/>
    <w:rsid w:val="00326864"/>
    <w:rsid w:val="00450236"/>
    <w:rsid w:val="004D4EB1"/>
    <w:rsid w:val="004E6C26"/>
    <w:rsid w:val="00536E09"/>
    <w:rsid w:val="00546591"/>
    <w:rsid w:val="005E4E38"/>
    <w:rsid w:val="00646F38"/>
    <w:rsid w:val="0065391A"/>
    <w:rsid w:val="00685FA7"/>
    <w:rsid w:val="00696B86"/>
    <w:rsid w:val="00703AB0"/>
    <w:rsid w:val="007849DE"/>
    <w:rsid w:val="00794C7C"/>
    <w:rsid w:val="007C4C68"/>
    <w:rsid w:val="009668D6"/>
    <w:rsid w:val="00972BD8"/>
    <w:rsid w:val="009E5D48"/>
    <w:rsid w:val="00A34A35"/>
    <w:rsid w:val="00A7402E"/>
    <w:rsid w:val="00AA78BA"/>
    <w:rsid w:val="00AD1ECB"/>
    <w:rsid w:val="00B14BC0"/>
    <w:rsid w:val="00B819E7"/>
    <w:rsid w:val="00BC2936"/>
    <w:rsid w:val="00BC3F94"/>
    <w:rsid w:val="00BD2A7A"/>
    <w:rsid w:val="00C00ADD"/>
    <w:rsid w:val="00CA1D23"/>
    <w:rsid w:val="00CC450C"/>
    <w:rsid w:val="00D0161D"/>
    <w:rsid w:val="00D168B5"/>
    <w:rsid w:val="00D22B58"/>
    <w:rsid w:val="00D24D06"/>
    <w:rsid w:val="00D617C9"/>
    <w:rsid w:val="00D93096"/>
    <w:rsid w:val="00D952A7"/>
    <w:rsid w:val="00E61C1A"/>
    <w:rsid w:val="00E74C5B"/>
    <w:rsid w:val="00E85910"/>
    <w:rsid w:val="00F25C4C"/>
    <w:rsid w:val="00F44DB4"/>
    <w:rsid w:val="00F70FA7"/>
    <w:rsid w:val="00F9726F"/>
    <w:rsid w:val="00FE3D90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E77E"/>
  <w15:chartTrackingRefBased/>
  <w15:docId w15:val="{B9ED1A9F-C1DD-4473-9191-F33AEA65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A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501</Words>
  <Characters>2862</Characters>
  <Application>Microsoft Office Word</Application>
  <DocSecurity>0</DocSecurity>
  <Lines>23</Lines>
  <Paragraphs>6</Paragraphs>
  <ScaleCrop>false</ScaleCrop>
  <Company>British Council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Reid, Kyla ( Data Evidence and Performance)</dc:creator>
  <cp:keywords/>
  <dc:description/>
  <cp:lastModifiedBy>Reid, Kyla ( Data Evidence and Performance)</cp:lastModifiedBy>
  <cp:revision>65</cp:revision>
  <dcterms:created xsi:type="dcterms:W3CDTF">2025-07-29T14:51:00Z</dcterms:created>
  <dcterms:modified xsi:type="dcterms:W3CDTF">2025-07-29T15:36:00Z</dcterms:modified>
</cp:coreProperties>
</file>