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512" w:rsidRDefault="00F646D5">
      <w:pPr>
        <w:spacing w:before="10"/>
        <w:ind w:left="100" w:right="1158"/>
        <w:jc w:val="both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color w:val="1F1F1F"/>
          <w:sz w:val="48"/>
          <w:szCs w:val="48"/>
        </w:rPr>
        <w:t>P</w:t>
      </w:r>
      <w:r>
        <w:rPr>
          <w:rFonts w:ascii="Arial" w:eastAsia="Arial" w:hAnsi="Arial" w:cs="Arial"/>
          <w:b/>
          <w:color w:val="1F1F1F"/>
          <w:spacing w:val="-10"/>
          <w:sz w:val="48"/>
          <w:szCs w:val="48"/>
        </w:rPr>
        <w:t>r</w:t>
      </w:r>
      <w:r>
        <w:rPr>
          <w:rFonts w:ascii="Arial" w:eastAsia="Arial" w:hAnsi="Arial" w:cs="Arial"/>
          <w:b/>
          <w:color w:val="1F1F1F"/>
          <w:sz w:val="48"/>
          <w:szCs w:val="48"/>
        </w:rPr>
        <w:t>odu</w:t>
      </w:r>
      <w:r>
        <w:rPr>
          <w:rFonts w:ascii="Arial" w:eastAsia="Arial" w:hAnsi="Arial" w:cs="Arial"/>
          <w:b/>
          <w:color w:val="1F1F1F"/>
          <w:spacing w:val="-5"/>
          <w:sz w:val="48"/>
          <w:szCs w:val="48"/>
        </w:rPr>
        <w:t>c</w:t>
      </w:r>
      <w:r>
        <w:rPr>
          <w:rFonts w:ascii="Arial" w:eastAsia="Arial" w:hAnsi="Arial" w:cs="Arial"/>
          <w:b/>
          <w:color w:val="1F1F1F"/>
          <w:sz w:val="48"/>
          <w:szCs w:val="48"/>
        </w:rPr>
        <w:t>t</w:t>
      </w:r>
      <w:r>
        <w:rPr>
          <w:rFonts w:ascii="Arial" w:eastAsia="Arial" w:hAnsi="Arial" w:cs="Arial"/>
          <w:b/>
          <w:color w:val="1F1F1F"/>
          <w:spacing w:val="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color w:val="1F1F1F"/>
          <w:spacing w:val="-12"/>
          <w:sz w:val="48"/>
          <w:szCs w:val="48"/>
        </w:rPr>
        <w:t>S</w:t>
      </w:r>
      <w:r>
        <w:rPr>
          <w:rFonts w:ascii="Arial" w:eastAsia="Arial" w:hAnsi="Arial" w:cs="Arial"/>
          <w:b/>
          <w:color w:val="1F1F1F"/>
          <w:sz w:val="48"/>
          <w:szCs w:val="48"/>
        </w:rPr>
        <w:t>t</w:t>
      </w:r>
      <w:r>
        <w:rPr>
          <w:rFonts w:ascii="Arial" w:eastAsia="Arial" w:hAnsi="Arial" w:cs="Arial"/>
          <w:b/>
          <w:color w:val="1F1F1F"/>
          <w:spacing w:val="-7"/>
          <w:sz w:val="48"/>
          <w:szCs w:val="48"/>
        </w:rPr>
        <w:t>ra</w:t>
      </w:r>
      <w:r>
        <w:rPr>
          <w:rFonts w:ascii="Arial" w:eastAsia="Arial" w:hAnsi="Arial" w:cs="Arial"/>
          <w:b/>
          <w:color w:val="1F1F1F"/>
          <w:spacing w:val="-12"/>
          <w:sz w:val="48"/>
          <w:szCs w:val="48"/>
        </w:rPr>
        <w:t>t</w:t>
      </w:r>
      <w:r>
        <w:rPr>
          <w:rFonts w:ascii="Arial" w:eastAsia="Arial" w:hAnsi="Arial" w:cs="Arial"/>
          <w:b/>
          <w:color w:val="1F1F1F"/>
          <w:sz w:val="48"/>
          <w:szCs w:val="48"/>
        </w:rPr>
        <w:t>egy</w:t>
      </w:r>
      <w:r>
        <w:rPr>
          <w:rFonts w:ascii="Arial" w:eastAsia="Arial" w:hAnsi="Arial" w:cs="Arial"/>
          <w:b/>
          <w:color w:val="1F1F1F"/>
          <w:spacing w:val="51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color w:val="1F1F1F"/>
          <w:sz w:val="48"/>
          <w:szCs w:val="48"/>
        </w:rPr>
        <w:t>&amp;</w:t>
      </w:r>
      <w:r>
        <w:rPr>
          <w:rFonts w:ascii="Arial" w:eastAsia="Arial" w:hAnsi="Arial" w:cs="Arial"/>
          <w:b/>
          <w:color w:val="1F1F1F"/>
          <w:spacing w:val="-52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color w:val="1F1F1F"/>
          <w:spacing w:val="-5"/>
          <w:w w:val="95"/>
          <w:sz w:val="48"/>
          <w:szCs w:val="48"/>
        </w:rPr>
        <w:t>V</w:t>
      </w:r>
      <w:r>
        <w:rPr>
          <w:rFonts w:ascii="Arial" w:eastAsia="Arial" w:hAnsi="Arial" w:cs="Arial"/>
          <w:b/>
          <w:color w:val="1F1F1F"/>
          <w:w w:val="95"/>
          <w:sz w:val="48"/>
          <w:szCs w:val="48"/>
        </w:rPr>
        <w:t>ision:</w:t>
      </w:r>
      <w:r>
        <w:rPr>
          <w:rFonts w:ascii="Arial" w:eastAsia="Arial" w:hAnsi="Arial" w:cs="Arial"/>
          <w:b/>
          <w:color w:val="1F1F1F"/>
          <w:spacing w:val="-6"/>
          <w:w w:val="95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color w:val="1F1F1F"/>
          <w:w w:val="109"/>
          <w:sz w:val="48"/>
          <w:szCs w:val="48"/>
        </w:rPr>
        <w:t>[</w:t>
      </w:r>
      <w:r>
        <w:rPr>
          <w:rFonts w:ascii="Arial" w:eastAsia="Arial" w:hAnsi="Arial" w:cs="Arial"/>
          <w:b/>
          <w:color w:val="1F1F1F"/>
          <w:w w:val="91"/>
          <w:sz w:val="48"/>
          <w:szCs w:val="48"/>
        </w:rPr>
        <w:t>P</w:t>
      </w:r>
      <w:r>
        <w:rPr>
          <w:rFonts w:ascii="Arial" w:eastAsia="Arial" w:hAnsi="Arial" w:cs="Arial"/>
          <w:b/>
          <w:color w:val="1F1F1F"/>
          <w:spacing w:val="-10"/>
          <w:w w:val="108"/>
          <w:sz w:val="48"/>
          <w:szCs w:val="48"/>
        </w:rPr>
        <w:t>r</w:t>
      </w:r>
      <w:r>
        <w:rPr>
          <w:rFonts w:ascii="Arial" w:eastAsia="Arial" w:hAnsi="Arial" w:cs="Arial"/>
          <w:b/>
          <w:color w:val="1F1F1F"/>
          <w:sz w:val="48"/>
          <w:szCs w:val="48"/>
        </w:rPr>
        <w:t>o</w:t>
      </w:r>
      <w:r>
        <w:rPr>
          <w:rFonts w:ascii="Arial" w:eastAsia="Arial" w:hAnsi="Arial" w:cs="Arial"/>
          <w:b/>
          <w:color w:val="1F1F1F"/>
          <w:w w:val="102"/>
          <w:sz w:val="48"/>
          <w:szCs w:val="48"/>
        </w:rPr>
        <w:t>d</w:t>
      </w:r>
      <w:r>
        <w:rPr>
          <w:rFonts w:ascii="Arial" w:eastAsia="Arial" w:hAnsi="Arial" w:cs="Arial"/>
          <w:b/>
          <w:color w:val="1F1F1F"/>
          <w:w w:val="97"/>
          <w:sz w:val="48"/>
          <w:szCs w:val="48"/>
        </w:rPr>
        <w:t>u</w:t>
      </w:r>
      <w:r>
        <w:rPr>
          <w:rFonts w:ascii="Arial" w:eastAsia="Arial" w:hAnsi="Arial" w:cs="Arial"/>
          <w:b/>
          <w:color w:val="1F1F1F"/>
          <w:spacing w:val="-5"/>
          <w:w w:val="101"/>
          <w:sz w:val="48"/>
          <w:szCs w:val="48"/>
        </w:rPr>
        <w:t>c</w:t>
      </w:r>
      <w:r>
        <w:rPr>
          <w:rFonts w:ascii="Arial" w:eastAsia="Arial" w:hAnsi="Arial" w:cs="Arial"/>
          <w:b/>
          <w:color w:val="1F1F1F"/>
          <w:w w:val="124"/>
          <w:sz w:val="48"/>
          <w:szCs w:val="48"/>
        </w:rPr>
        <w:t>t</w:t>
      </w:r>
    </w:p>
    <w:p w:rsidR="00F40512" w:rsidRDefault="00F40512">
      <w:pPr>
        <w:spacing w:before="8" w:line="100" w:lineRule="exact"/>
        <w:rPr>
          <w:sz w:val="10"/>
          <w:szCs w:val="10"/>
        </w:rPr>
      </w:pPr>
    </w:p>
    <w:p w:rsidR="00F40512" w:rsidRDefault="00F646D5">
      <w:pPr>
        <w:ind w:left="100" w:right="7752"/>
        <w:jc w:val="both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color w:val="1F1F1F"/>
          <w:w w:val="102"/>
          <w:sz w:val="48"/>
          <w:szCs w:val="48"/>
        </w:rPr>
        <w:t>N</w:t>
      </w:r>
      <w:r>
        <w:rPr>
          <w:rFonts w:ascii="Arial" w:eastAsia="Arial" w:hAnsi="Arial" w:cs="Arial"/>
          <w:b/>
          <w:color w:val="1F1F1F"/>
          <w:sz w:val="48"/>
          <w:szCs w:val="48"/>
        </w:rPr>
        <w:t>a</w:t>
      </w:r>
      <w:r>
        <w:rPr>
          <w:rFonts w:ascii="Arial" w:eastAsia="Arial" w:hAnsi="Arial" w:cs="Arial"/>
          <w:b/>
          <w:color w:val="1F1F1F"/>
          <w:w w:val="102"/>
          <w:sz w:val="48"/>
          <w:szCs w:val="48"/>
        </w:rPr>
        <w:t>m</w:t>
      </w:r>
      <w:r>
        <w:rPr>
          <w:rFonts w:ascii="Arial" w:eastAsia="Arial" w:hAnsi="Arial" w:cs="Arial"/>
          <w:b/>
          <w:color w:val="1F1F1F"/>
          <w:w w:val="105"/>
          <w:sz w:val="48"/>
          <w:szCs w:val="48"/>
        </w:rPr>
        <w:t>e</w:t>
      </w:r>
      <w:r>
        <w:rPr>
          <w:rFonts w:ascii="Arial" w:eastAsia="Arial" w:hAnsi="Arial" w:cs="Arial"/>
          <w:b/>
          <w:color w:val="1F1F1F"/>
          <w:w w:val="109"/>
          <w:sz w:val="48"/>
          <w:szCs w:val="48"/>
        </w:rPr>
        <w:t>]</w:t>
      </w:r>
    </w:p>
    <w:p w:rsidR="00F40512" w:rsidRDefault="00F40512">
      <w:pPr>
        <w:spacing w:before="5" w:line="220" w:lineRule="exact"/>
        <w:rPr>
          <w:sz w:val="22"/>
          <w:szCs w:val="22"/>
        </w:rPr>
      </w:pPr>
    </w:p>
    <w:p w:rsidR="00F646D5" w:rsidRDefault="00F646D5" w:rsidP="00F646D5">
      <w:pPr>
        <w:pStyle w:val="Heading2"/>
      </w:pPr>
      <w:r>
        <w:t>The Product Vision</w:t>
      </w:r>
    </w:p>
    <w:p w:rsidR="00F646D5" w:rsidRDefault="00F646D5" w:rsidP="00F646D5">
      <w:pPr>
        <w:pStyle w:val="NormalWeb"/>
      </w:pPr>
      <w:r>
        <w:rPr>
          <w:rStyle w:val="citation-110"/>
          <w:rFonts w:eastAsiaTheme="majorEastAsia"/>
          <w:b/>
          <w:bCs/>
        </w:rPr>
        <w:t>Vision Statement:</w:t>
      </w:r>
      <w:r>
        <w:rPr>
          <w:rStyle w:val="citation-110"/>
          <w:rFonts w:eastAsiaTheme="majorEastAsia"/>
        </w:rPr>
        <w:t xml:space="preserve"> "To become the </w:t>
      </w:r>
      <w:r>
        <w:rPr>
          <w:rStyle w:val="citation-110"/>
          <w:rFonts w:eastAsiaTheme="majorEastAsia"/>
          <w:b/>
          <w:bCs/>
        </w:rPr>
        <w:t>Universal Health Data Bridge</w:t>
      </w:r>
      <w:r>
        <w:rPr>
          <w:rStyle w:val="citation-110"/>
          <w:rFonts w:eastAsiaTheme="majorEastAsia"/>
        </w:rPr>
        <w:t xml:space="preserve"> that enables </w:t>
      </w:r>
      <w:r>
        <w:rPr>
          <w:rStyle w:val="citation-110"/>
          <w:rFonts w:eastAsiaTheme="majorEastAsia"/>
          <w:b/>
          <w:bCs/>
        </w:rPr>
        <w:t>disconnected healthcare providers in the Global South</w:t>
      </w:r>
      <w:r>
        <w:rPr>
          <w:rStyle w:val="citation-110"/>
          <w:rFonts w:eastAsiaTheme="majorEastAsia"/>
        </w:rPr>
        <w:t xml:space="preserve"> to achieve </w:t>
      </w:r>
      <w:r>
        <w:rPr>
          <w:rStyle w:val="citation-110"/>
          <w:rFonts w:eastAsiaTheme="majorEastAsia"/>
          <w:b/>
          <w:bCs/>
        </w:rPr>
        <w:t>Zero-Blind-Spot Care</w:t>
      </w:r>
      <w:r>
        <w:rPr>
          <w:rStyle w:val="citation-110"/>
          <w:rFonts w:eastAsiaTheme="majorEastAsia"/>
        </w:rPr>
        <w:t xml:space="preserve"> without </w:t>
      </w:r>
      <w:r>
        <w:rPr>
          <w:rStyle w:val="citation-110"/>
          <w:rFonts w:eastAsiaTheme="majorEastAsia"/>
          <w:b/>
          <w:bCs/>
        </w:rPr>
        <w:t>requiring reliable internet or expensive infrastructure</w:t>
      </w:r>
      <w:r>
        <w:rPr>
          <w:rStyle w:val="citation-110"/>
          <w:rFonts w:eastAsiaTheme="majorEastAsia"/>
        </w:rPr>
        <w:t xml:space="preserve">." </w:t>
      </w:r>
      <w:r>
        <w:rPr>
          <w:rStyle w:val="citation-110"/>
          <w:rFonts w:eastAsiaTheme="majorEastAsia"/>
          <w:vertAlign w:val="superscript"/>
        </w:rPr>
        <w:t>2</w:t>
      </w:r>
    </w:p>
    <w:p w:rsidR="00F646D5" w:rsidRDefault="00F646D5" w:rsidP="00F646D5">
      <w:r>
        <w:pict>
          <v:rect id="_x0000_i1025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>Strategic Pillars</w:t>
      </w:r>
    </w:p>
    <w:p w:rsidR="00F646D5" w:rsidRDefault="00F646D5" w:rsidP="00F646D5">
      <w:pPr>
        <w:pStyle w:val="NormalWeb"/>
      </w:pPr>
      <w:r>
        <w:rPr>
          <w:rStyle w:val="citation-109"/>
          <w:rFonts w:eastAsiaTheme="minorEastAsia"/>
        </w:rPr>
        <w:t>These are the three "big bets" that will guide our product decisions over the next 12–24 months</w:t>
      </w:r>
      <w:r>
        <w:rPr>
          <w:rStyle w:val="citation-109"/>
          <w:rFonts w:eastAsiaTheme="minorEastAsia"/>
          <w:vertAlign w:val="superscript"/>
        </w:rPr>
        <w:t>3</w:t>
      </w:r>
      <w:r>
        <w:t>.</w:t>
      </w:r>
    </w:p>
    <w:p w:rsidR="00F646D5" w:rsidRDefault="00F646D5" w:rsidP="00F646D5">
      <w:pPr>
        <w:pStyle w:val="NormalWeb"/>
        <w:numPr>
          <w:ilvl w:val="0"/>
          <w:numId w:val="2"/>
        </w:numPr>
      </w:pPr>
      <w:r>
        <w:t>Pillar 1: Offline-First Resilience</w:t>
      </w:r>
    </w:p>
    <w:p w:rsidR="00F646D5" w:rsidRDefault="00F646D5" w:rsidP="00F646D5">
      <w:pPr>
        <w:pStyle w:val="NormalWeb"/>
        <w:ind w:left="720"/>
      </w:pPr>
      <w:r>
        <w:t>We will prioritize "Edge Availability" to ensure that clinical data capture is never blocked by poor connectivity. Our architecture assumes the internet is the exception, not the rule4.</w:t>
      </w:r>
    </w:p>
    <w:p w:rsidR="00F646D5" w:rsidRDefault="00F646D5" w:rsidP="00F646D5">
      <w:pPr>
        <w:pStyle w:val="NormalWeb"/>
        <w:numPr>
          <w:ilvl w:val="0"/>
          <w:numId w:val="2"/>
        </w:numPr>
      </w:pPr>
      <w:r>
        <w:t>Pillar 2: Patient-Mediated Sovereignty</w:t>
      </w:r>
    </w:p>
    <w:p w:rsidR="00F646D5" w:rsidRDefault="00F646D5" w:rsidP="00F646D5">
      <w:pPr>
        <w:pStyle w:val="NormalWeb"/>
        <w:ind w:left="720"/>
      </w:pPr>
      <w:r>
        <w:t>We will build a security model where the patient holds the "key" (via PINs or Smart Cards). This builds trust in low-trust environments and ensures compliance by design5.</w:t>
      </w:r>
    </w:p>
    <w:p w:rsidR="00F646D5" w:rsidRDefault="00F646D5" w:rsidP="00F646D5">
      <w:pPr>
        <w:pStyle w:val="NormalWeb"/>
        <w:numPr>
          <w:ilvl w:val="0"/>
          <w:numId w:val="2"/>
        </w:numPr>
      </w:pPr>
      <w:r>
        <w:t>Pillar 3: The "FHIR Native" Standard</w:t>
      </w:r>
    </w:p>
    <w:p w:rsidR="00F646D5" w:rsidRDefault="00F646D5" w:rsidP="00F646D5">
      <w:pPr>
        <w:pStyle w:val="NormalWeb"/>
        <w:ind w:left="720"/>
      </w:pPr>
      <w:r>
        <w:t>We will move beyond simple digitization to true interoperability. By enforcing FHIR standards from Day 1, we ensure our data is an asset that can integrate with future national health systems6.</w:t>
      </w:r>
    </w:p>
    <w:p w:rsidR="00F646D5" w:rsidRDefault="00F646D5" w:rsidP="00F646D5">
      <w:r>
        <w:pict>
          <v:rect id="_x0000_i1026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>Target Market &amp; Positioning</w:t>
      </w:r>
    </w:p>
    <w:p w:rsidR="00F646D5" w:rsidRDefault="00F646D5" w:rsidP="00F646D5">
      <w:pPr>
        <w:pStyle w:val="NormalWeb"/>
      </w:pPr>
      <w:r>
        <w:rPr>
          <w:b/>
          <w:bCs/>
        </w:rPr>
        <w:t>Market Segment</w:t>
      </w:r>
    </w:p>
    <w:p w:rsidR="00F646D5" w:rsidRDefault="00F646D5" w:rsidP="00F646D5">
      <w:pPr>
        <w:pStyle w:val="NormalWeb"/>
        <w:numPr>
          <w:ilvl w:val="0"/>
          <w:numId w:val="3"/>
        </w:numPr>
      </w:pPr>
      <w:r>
        <w:rPr>
          <w:b/>
          <w:bCs/>
        </w:rPr>
        <w:t>Who are we winning for first?</w:t>
      </w:r>
    </w:p>
    <w:p w:rsidR="00F646D5" w:rsidRDefault="00F646D5" w:rsidP="00F646D5">
      <w:pPr>
        <w:pStyle w:val="NormalWeb"/>
        <w:numPr>
          <w:ilvl w:val="1"/>
          <w:numId w:val="3"/>
        </w:numPr>
      </w:pPr>
      <w:r>
        <w:rPr>
          <w:rStyle w:val="citation-105"/>
          <w:rFonts w:eastAsiaTheme="minorEastAsia"/>
          <w:b/>
          <w:bCs/>
        </w:rPr>
        <w:t>Primary Segment:</w:t>
      </w:r>
      <w:r>
        <w:rPr>
          <w:rStyle w:val="citation-105"/>
          <w:rFonts w:eastAsiaTheme="minorEastAsia"/>
        </w:rPr>
        <w:t xml:space="preserve"> Primary Health Centers (PHCs) and General Hospitals in semi-urban/rural Nigeria</w:t>
      </w:r>
      <w:r>
        <w:rPr>
          <w:rStyle w:val="citation-105"/>
          <w:rFonts w:eastAsiaTheme="minorEastAsia"/>
          <w:vertAlign w:val="superscript"/>
        </w:rPr>
        <w:t>7</w:t>
      </w:r>
      <w:r>
        <w:t>.</w:t>
      </w:r>
    </w:p>
    <w:p w:rsidR="00F646D5" w:rsidRDefault="00F646D5" w:rsidP="00F646D5">
      <w:pPr>
        <w:pStyle w:val="NormalWeb"/>
        <w:numPr>
          <w:ilvl w:val="1"/>
          <w:numId w:val="3"/>
        </w:numPr>
      </w:pPr>
      <w:r>
        <w:rPr>
          <w:rStyle w:val="citation-104"/>
          <w:b/>
          <w:bCs/>
        </w:rPr>
        <w:t>Adjacent Opportunities:</w:t>
      </w:r>
      <w:r>
        <w:rPr>
          <w:rStyle w:val="citation-104"/>
        </w:rPr>
        <w:t xml:space="preserve"> NGO-funded specialized clinics (HIV/TB programs) that need to track mobile patient populations</w:t>
      </w:r>
      <w:r>
        <w:rPr>
          <w:rStyle w:val="citation-104"/>
          <w:vertAlign w:val="superscript"/>
        </w:rPr>
        <w:t>8</w:t>
      </w:r>
      <w:r>
        <w:t>.</w:t>
      </w:r>
    </w:p>
    <w:p w:rsidR="00F646D5" w:rsidRDefault="00F646D5" w:rsidP="00F646D5">
      <w:pPr>
        <w:pStyle w:val="NormalWeb"/>
      </w:pPr>
    </w:p>
    <w:p w:rsidR="00F646D5" w:rsidRDefault="00F646D5" w:rsidP="00F646D5">
      <w:pPr>
        <w:pStyle w:val="NormalWeb"/>
      </w:pPr>
    </w:p>
    <w:p w:rsidR="00F646D5" w:rsidRDefault="00F646D5" w:rsidP="00F646D5">
      <w:pPr>
        <w:pStyle w:val="NormalWeb"/>
      </w:pPr>
      <w:r>
        <w:lastRenderedPageBreak/>
        <w:t>Positioning Statement</w:t>
      </w:r>
    </w:p>
    <w:p w:rsidR="00F646D5" w:rsidRDefault="00F646D5" w:rsidP="00F646D5">
      <w:pPr>
        <w:pStyle w:val="NormalWeb"/>
      </w:pPr>
      <w:r>
        <w:t xml:space="preserve">For rural clinicians and mobile patients who are dissatisfied with fragmented paper records and lost referral notes, </w:t>
      </w:r>
      <w:proofErr w:type="spellStart"/>
      <w:r>
        <w:t>MedCore</w:t>
      </w:r>
      <w:proofErr w:type="spellEnd"/>
      <w:r>
        <w:t xml:space="preserve"> is a decentralized EHR bridge that provides instant, secure clinical history.</w:t>
      </w:r>
    </w:p>
    <w:p w:rsidR="00F646D5" w:rsidRDefault="00F646D5" w:rsidP="00F646D5">
      <w:pPr>
        <w:pStyle w:val="NormalWeb"/>
      </w:pPr>
      <w:r>
        <w:t>Unlike centralized government databases (e.g., DHIS2), we enable full offline functionality and patient-controlled access via a secure "Handshake." 9</w:t>
      </w:r>
    </w:p>
    <w:p w:rsidR="00F646D5" w:rsidRDefault="00F646D5" w:rsidP="00F646D5">
      <w:r>
        <w:pict>
          <v:rect id="_x0000_i1027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 xml:space="preserve">The Value Proposition (The "Jobs to be </w:t>
      </w:r>
      <w:proofErr w:type="gramStart"/>
      <w:r>
        <w:t>Done</w:t>
      </w:r>
      <w:proofErr w:type="gramEnd"/>
      <w: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326"/>
        <w:gridCol w:w="4040"/>
      </w:tblGrid>
      <w:tr w:rsidR="00F646D5" w:rsidTr="00F646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The Job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Current 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Our Strategic Solution</w:t>
            </w:r>
          </w:p>
        </w:tc>
      </w:tr>
      <w:tr w:rsidR="00F646D5" w:rsidTr="00F64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b/>
                <w:bCs/>
              </w:rPr>
              <w:t>Functional:</w:t>
            </w:r>
            <w:r>
              <w:t xml:space="preserve"> Refer a patient to a specialist.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102"/>
                <w:rFonts w:eastAsiaTheme="minorEastAsia"/>
                <w:b/>
                <w:bCs/>
              </w:rPr>
              <w:t>Data Loss:</w:t>
            </w:r>
            <w:r>
              <w:rPr>
                <w:rStyle w:val="citation-102"/>
                <w:rFonts w:eastAsiaTheme="minorEastAsia"/>
              </w:rPr>
              <w:t xml:space="preserve"> Referral letters get lost; patients forget history. </w:t>
            </w:r>
            <w:r>
              <w:rPr>
                <w:rStyle w:val="citation-102"/>
                <w:rFonts w:eastAsiaTheme="minorEastAsia"/>
                <w:vertAlign w:val="superscript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101"/>
                <w:rFonts w:eastAsiaTheme="majorEastAsia"/>
                <w:b/>
                <w:bCs/>
              </w:rPr>
              <w:t>FHIR Sync:</w:t>
            </w:r>
            <w:r>
              <w:rPr>
                <w:rStyle w:val="citation-101"/>
                <w:rFonts w:eastAsiaTheme="majorEastAsia"/>
              </w:rPr>
              <w:t xml:space="preserve"> Automated, standardized data transfer triggered by a simple code. </w:t>
            </w:r>
            <w:r>
              <w:rPr>
                <w:rStyle w:val="citation-101"/>
                <w:rFonts w:eastAsiaTheme="majorEastAsia"/>
                <w:vertAlign w:val="superscript"/>
              </w:rPr>
              <w:t>11</w:t>
            </w:r>
          </w:p>
        </w:tc>
      </w:tr>
      <w:tr w:rsidR="00F646D5" w:rsidTr="00F64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r>
              <w:rPr>
                <w:b/>
                <w:bCs/>
              </w:rPr>
              <w:t>Emotional:</w:t>
            </w:r>
            <w:r>
              <w:t xml:space="preserve"> Seek care at a new facility.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100"/>
                <w:b/>
                <w:bCs/>
              </w:rPr>
              <w:t>Fear:</w:t>
            </w:r>
            <w:r>
              <w:rPr>
                <w:rStyle w:val="citation-100"/>
              </w:rPr>
              <w:t xml:space="preserve"> "Will they mistreat me or test me for things I've already done?" </w:t>
            </w:r>
            <w:r>
              <w:rPr>
                <w:rStyle w:val="citation-100"/>
                <w:vertAlign w:val="superscript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99"/>
                <w:b/>
                <w:bCs/>
              </w:rPr>
              <w:t>Agency:</w:t>
            </w:r>
            <w:r>
              <w:rPr>
                <w:rStyle w:val="citation-99"/>
              </w:rPr>
              <w:t xml:space="preserve"> The patient "unlocks" their own record, feeling in control and validated. </w:t>
            </w:r>
            <w:r>
              <w:rPr>
                <w:rStyle w:val="citation-99"/>
                <w:vertAlign w:val="superscript"/>
              </w:rPr>
              <w:t>13</w:t>
            </w:r>
          </w:p>
        </w:tc>
      </w:tr>
    </w:tbl>
    <w:p w:rsidR="00F646D5" w:rsidRDefault="00F646D5" w:rsidP="00F646D5">
      <w:r>
        <w:pict>
          <v:rect id="_x0000_i1028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>Strategic Roadmap (The "How")</w:t>
      </w:r>
    </w:p>
    <w:p w:rsidR="00F646D5" w:rsidRDefault="00F646D5" w:rsidP="00F646D5">
      <w:pPr>
        <w:pStyle w:val="NormalWeb"/>
      </w:pPr>
      <w:r>
        <w:rPr>
          <w:rStyle w:val="citation-98"/>
        </w:rPr>
        <w:t>This is the sequence of stages to realize our 3-5 year vision</w:t>
      </w:r>
      <w:r>
        <w:rPr>
          <w:rStyle w:val="citation-98"/>
          <w:vertAlign w:val="superscript"/>
        </w:rPr>
        <w:t>14</w:t>
      </w:r>
      <w:r>
        <w:t>.</w:t>
      </w:r>
    </w:p>
    <w:p w:rsidR="00F646D5" w:rsidRDefault="00F646D5" w:rsidP="00F646D5">
      <w:pPr>
        <w:pStyle w:val="NormalWeb"/>
        <w:numPr>
          <w:ilvl w:val="0"/>
          <w:numId w:val="4"/>
        </w:numPr>
      </w:pPr>
      <w:r>
        <w:rPr>
          <w:b/>
          <w:bCs/>
        </w:rPr>
        <w:t>Phase 1: Foundation (0-6 Months)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b/>
          <w:bCs/>
        </w:rPr>
        <w:t>Focus:</w:t>
      </w:r>
      <w:r>
        <w:t xml:space="preserve"> Establish the "Cloud Handshake" (MVP).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rStyle w:val="citation-97"/>
          <w:b/>
          <w:bCs/>
        </w:rPr>
        <w:t>Key Metric:</w:t>
      </w:r>
      <w:r>
        <w:rPr>
          <w:rStyle w:val="citation-97"/>
        </w:rPr>
        <w:t xml:space="preserve"> Successful Referral Completion Rate (GP to Specialist</w:t>
      </w:r>
      <w:proofErr w:type="gramStart"/>
      <w:r>
        <w:rPr>
          <w:rStyle w:val="citation-97"/>
        </w:rPr>
        <w:t>)</w:t>
      </w:r>
      <w:r>
        <w:rPr>
          <w:rStyle w:val="citation-97"/>
          <w:vertAlign w:val="superscript"/>
        </w:rPr>
        <w:t>15</w:t>
      </w:r>
      <w:proofErr w:type="gramEnd"/>
      <w:r>
        <w:t>.</w:t>
      </w:r>
    </w:p>
    <w:p w:rsidR="00F646D5" w:rsidRDefault="00F646D5" w:rsidP="00F646D5">
      <w:pPr>
        <w:pStyle w:val="NormalWeb"/>
        <w:numPr>
          <w:ilvl w:val="0"/>
          <w:numId w:val="4"/>
        </w:numPr>
      </w:pPr>
      <w:r>
        <w:rPr>
          <w:b/>
          <w:bCs/>
        </w:rPr>
        <w:t>Phase 2: Expansion (6-12 Months)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b/>
          <w:bCs/>
        </w:rPr>
        <w:t>Focus:</w:t>
      </w:r>
      <w:r>
        <w:t xml:space="preserve"> Re-introduce the </w:t>
      </w:r>
      <w:r>
        <w:rPr>
          <w:b/>
          <w:bCs/>
        </w:rPr>
        <w:t>Physical Smart Card</w:t>
      </w:r>
      <w:r>
        <w:t xml:space="preserve"> layer for deep-rural areas with zero signal.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rStyle w:val="citation-96"/>
          <w:b/>
          <w:bCs/>
        </w:rPr>
        <w:t>Key Metric:</w:t>
      </w:r>
      <w:r>
        <w:rPr>
          <w:rStyle w:val="citation-96"/>
        </w:rPr>
        <w:t xml:space="preserve"> Offline Data Write Success Rate</w:t>
      </w:r>
      <w:r>
        <w:rPr>
          <w:rStyle w:val="citation-96"/>
          <w:vertAlign w:val="superscript"/>
        </w:rPr>
        <w:t>16</w:t>
      </w:r>
      <w:r>
        <w:t>.</w:t>
      </w:r>
    </w:p>
    <w:p w:rsidR="00F646D5" w:rsidRDefault="00F646D5" w:rsidP="00F646D5">
      <w:pPr>
        <w:pStyle w:val="NormalWeb"/>
        <w:numPr>
          <w:ilvl w:val="0"/>
          <w:numId w:val="4"/>
        </w:numPr>
      </w:pPr>
      <w:r>
        <w:rPr>
          <w:b/>
          <w:bCs/>
        </w:rPr>
        <w:t>Phase 3: Optimization (12-24 Months)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b/>
          <w:bCs/>
        </w:rPr>
        <w:t>Focus:</w:t>
      </w:r>
      <w:r>
        <w:t xml:space="preserve"> Layer on </w:t>
      </w:r>
      <w:r>
        <w:rPr>
          <w:b/>
          <w:bCs/>
        </w:rPr>
        <w:t>Clinical Decision Support</w:t>
      </w:r>
      <w:r>
        <w:t>. Use the FHIR data to trigger automated alerts (e.g., "Drug Interaction Warning").</w:t>
      </w:r>
    </w:p>
    <w:p w:rsidR="00F646D5" w:rsidRDefault="00F646D5" w:rsidP="00F646D5">
      <w:pPr>
        <w:pStyle w:val="NormalWeb"/>
        <w:numPr>
          <w:ilvl w:val="1"/>
          <w:numId w:val="4"/>
        </w:numPr>
      </w:pPr>
      <w:r>
        <w:rPr>
          <w:rStyle w:val="citation-95"/>
          <w:b/>
          <w:bCs/>
        </w:rPr>
        <w:t>Key Metric:</w:t>
      </w:r>
      <w:r>
        <w:rPr>
          <w:rStyle w:val="citation-95"/>
        </w:rPr>
        <w:t xml:space="preserve"> Reduction in Contraindicated Prescriptions</w:t>
      </w:r>
      <w:r>
        <w:rPr>
          <w:rStyle w:val="citation-95"/>
          <w:vertAlign w:val="superscript"/>
        </w:rPr>
        <w:t>17</w:t>
      </w:r>
      <w:r>
        <w:t>.</w:t>
      </w:r>
    </w:p>
    <w:p w:rsidR="00F646D5" w:rsidRDefault="00F646D5" w:rsidP="00F646D5">
      <w:r>
        <w:pict>
          <v:rect id="_x0000_i1029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>Competitive Moat (Defensibility)</w:t>
      </w:r>
    </w:p>
    <w:p w:rsidR="00F646D5" w:rsidRDefault="00F646D5" w:rsidP="00F646D5">
      <w:pPr>
        <w:pStyle w:val="NormalWeb"/>
      </w:pPr>
      <w:r>
        <w:rPr>
          <w:rStyle w:val="citation-94"/>
        </w:rPr>
        <w:t xml:space="preserve">Why is it hard for others to copy us once we succeed? </w:t>
      </w:r>
      <w:r>
        <w:rPr>
          <w:rStyle w:val="citation-94"/>
          <w:vertAlign w:val="superscript"/>
        </w:rPr>
        <w:t>18</w:t>
      </w:r>
    </w:p>
    <w:p w:rsidR="00F646D5" w:rsidRDefault="00F646D5" w:rsidP="00F646D5">
      <w:pPr>
        <w:pStyle w:val="NormalWeb"/>
        <w:numPr>
          <w:ilvl w:val="0"/>
          <w:numId w:val="5"/>
        </w:numPr>
      </w:pPr>
      <w:r>
        <w:rPr>
          <w:rStyle w:val="citation-93"/>
          <w:b/>
          <w:bCs/>
        </w:rPr>
        <w:t>Network Effects:</w:t>
      </w:r>
      <w:r>
        <w:rPr>
          <w:rStyle w:val="citation-93"/>
        </w:rPr>
        <w:t xml:space="preserve"> As more clinics join the </w:t>
      </w:r>
      <w:proofErr w:type="spellStart"/>
      <w:r>
        <w:rPr>
          <w:rStyle w:val="citation-93"/>
        </w:rPr>
        <w:t>MedCore</w:t>
      </w:r>
      <w:proofErr w:type="spellEnd"/>
      <w:r>
        <w:rPr>
          <w:rStyle w:val="citation-93"/>
        </w:rPr>
        <w:t xml:space="preserve"> network, the value of a patient's "Health ID" increases exponentially for every other provider</w:t>
      </w:r>
      <w:r>
        <w:rPr>
          <w:rStyle w:val="citation-93"/>
          <w:vertAlign w:val="superscript"/>
        </w:rPr>
        <w:t>19</w:t>
      </w:r>
      <w:r>
        <w:t>.</w:t>
      </w:r>
    </w:p>
    <w:p w:rsidR="00F646D5" w:rsidRDefault="00F646D5" w:rsidP="00F646D5">
      <w:pPr>
        <w:pStyle w:val="NormalWeb"/>
        <w:numPr>
          <w:ilvl w:val="0"/>
          <w:numId w:val="5"/>
        </w:numPr>
      </w:pPr>
      <w:r>
        <w:rPr>
          <w:rStyle w:val="citation-92"/>
          <w:b/>
          <w:bCs/>
        </w:rPr>
        <w:t>Trust Asset:</w:t>
      </w:r>
      <w:r>
        <w:rPr>
          <w:rStyle w:val="citation-92"/>
        </w:rPr>
        <w:t xml:space="preserve"> By training patients that "My PIN = My Data," we create a behavioral lock-in that centralized, top-down government systems struggle to replicate</w:t>
      </w:r>
      <w:r>
        <w:rPr>
          <w:rStyle w:val="citation-92"/>
          <w:vertAlign w:val="superscript"/>
        </w:rPr>
        <w:t>20</w:t>
      </w:r>
      <w:r>
        <w:t>.</w:t>
      </w:r>
    </w:p>
    <w:p w:rsidR="00F646D5" w:rsidRDefault="00F646D5" w:rsidP="00F646D5">
      <w:pPr>
        <w:pStyle w:val="NormalWeb"/>
        <w:numPr>
          <w:ilvl w:val="0"/>
          <w:numId w:val="5"/>
        </w:numPr>
      </w:pPr>
      <w:r>
        <w:rPr>
          <w:rStyle w:val="citation-91"/>
          <w:b/>
          <w:bCs/>
        </w:rPr>
        <w:lastRenderedPageBreak/>
        <w:t>Switching Costs:</w:t>
      </w:r>
      <w:r>
        <w:rPr>
          <w:rStyle w:val="citation-91"/>
        </w:rPr>
        <w:t xml:space="preserve"> Once a clinic integrates our FHIR-based API into their workflow, reverting to unstructured paper notes becomes clinically painful</w:t>
      </w:r>
      <w:r>
        <w:rPr>
          <w:rStyle w:val="citation-91"/>
          <w:vertAlign w:val="superscript"/>
        </w:rPr>
        <w:t>21</w:t>
      </w:r>
      <w:r>
        <w:t>.</w:t>
      </w:r>
    </w:p>
    <w:p w:rsidR="00F646D5" w:rsidRDefault="00F646D5" w:rsidP="00F646D5">
      <w:r>
        <w:pict>
          <v:rect id="_x0000_i1030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r>
        <w:t>Strategic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68"/>
        <w:gridCol w:w="6980"/>
      </w:tblGrid>
      <w:tr w:rsidR="00F646D5" w:rsidTr="00F646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rStyle w:val="Strong"/>
                <w:rFonts w:eastAsiaTheme="minorEastAsia"/>
              </w:rPr>
              <w:t>Mitigation Strategy</w:t>
            </w:r>
          </w:p>
        </w:tc>
      </w:tr>
      <w:tr w:rsidR="00F646D5" w:rsidTr="00F64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rPr>
                <w:b/>
                <w:bCs/>
              </w:rPr>
              <w:t>Infrastructure Gap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spacing w:after="480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90"/>
              </w:rPr>
              <w:t xml:space="preserve">Build the "Offline-First" PWA architecture; ensure the app works on 2GB RAM Android phones. </w:t>
            </w:r>
            <w:r>
              <w:rPr>
                <w:rStyle w:val="citation-90"/>
                <w:vertAlign w:val="superscript"/>
              </w:rPr>
              <w:t>22</w:t>
            </w:r>
          </w:p>
        </w:tc>
      </w:tr>
      <w:tr w:rsidR="00F646D5" w:rsidTr="00F64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r>
              <w:rPr>
                <w:b/>
                <w:bCs/>
              </w:rPr>
              <w:t>Low Digital Literacy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89"/>
              </w:rPr>
              <w:t xml:space="preserve">Design the "Handshake" to mimic familiar ATM banking interactions (PIN entry) rather than complex login forms. </w:t>
            </w:r>
            <w:r>
              <w:rPr>
                <w:rStyle w:val="citation-89"/>
                <w:vertAlign w:val="superscript"/>
              </w:rPr>
              <w:t>23</w:t>
            </w:r>
          </w:p>
        </w:tc>
      </w:tr>
      <w:tr w:rsidR="00F646D5" w:rsidTr="00F646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r>
              <w:rPr>
                <w:b/>
                <w:bCs/>
              </w:rPr>
              <w:t>Regulatory Pushback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646D5" w:rsidRDefault="00F646D5">
            <w:pPr>
              <w:pStyle w:val="NormalWeb"/>
            </w:pPr>
            <w:r>
              <w:rPr>
                <w:rStyle w:val="citation-88"/>
              </w:rPr>
              <w:t xml:space="preserve">Adhere strictly to NDPR/GDPR by storing no data without explicit, logged patient authorization (The Handshake). </w:t>
            </w:r>
            <w:r>
              <w:rPr>
                <w:rStyle w:val="citation-88"/>
                <w:vertAlign w:val="superscript"/>
              </w:rPr>
              <w:t>24</w:t>
            </w:r>
          </w:p>
        </w:tc>
      </w:tr>
    </w:tbl>
    <w:p w:rsidR="00F646D5" w:rsidRDefault="00F646D5" w:rsidP="00F646D5">
      <w:r>
        <w:pict>
          <v:rect id="_x0000_i1031" style="width:0;height:1.5pt" o:hralign="center" o:hrstd="t" o:hr="t" fillcolor="#a0a0a0" stroked="f"/>
        </w:pict>
      </w:r>
    </w:p>
    <w:p w:rsidR="00F646D5" w:rsidRDefault="00F646D5" w:rsidP="00F646D5">
      <w:pPr>
        <w:pStyle w:val="Heading2"/>
      </w:pPr>
      <w:bookmarkStart w:id="0" w:name="_GoBack"/>
      <w:bookmarkEnd w:id="0"/>
      <w:r>
        <w:t>Success Definitions</w:t>
      </w:r>
    </w:p>
    <w:p w:rsidR="00F646D5" w:rsidRDefault="00F646D5" w:rsidP="00F646D5">
      <w:pPr>
        <w:pStyle w:val="NormalWeb"/>
      </w:pPr>
      <w:r>
        <w:rPr>
          <w:rStyle w:val="citation-87"/>
        </w:rPr>
        <w:t xml:space="preserve">What does the "world" look like when we have achieved our vision? </w:t>
      </w:r>
      <w:r>
        <w:rPr>
          <w:rStyle w:val="citation-87"/>
          <w:vertAlign w:val="superscript"/>
        </w:rPr>
        <w:t>25</w:t>
      </w:r>
    </w:p>
    <w:p w:rsidR="00F646D5" w:rsidRDefault="00F646D5" w:rsidP="00F646D5">
      <w:pPr>
        <w:pStyle w:val="NormalWeb"/>
        <w:numPr>
          <w:ilvl w:val="0"/>
          <w:numId w:val="6"/>
        </w:numPr>
      </w:pPr>
      <w:r>
        <w:rPr>
          <w:rStyle w:val="citation-86"/>
          <w:b/>
          <w:bCs/>
        </w:rPr>
        <w:t>User Impact:</w:t>
      </w:r>
      <w:r>
        <w:rPr>
          <w:rStyle w:val="citation-86"/>
        </w:rPr>
        <w:t xml:space="preserve"> The average rural patient saves </w:t>
      </w:r>
      <w:r>
        <w:rPr>
          <w:rStyle w:val="citation-86"/>
          <w:b/>
          <w:bCs/>
        </w:rPr>
        <w:t>₦15,000 per year</w:t>
      </w:r>
      <w:r>
        <w:rPr>
          <w:rStyle w:val="citation-86"/>
        </w:rPr>
        <w:t xml:space="preserve"> in avoided redundant tests</w:t>
      </w:r>
      <w:r>
        <w:rPr>
          <w:rStyle w:val="citation-86"/>
          <w:vertAlign w:val="superscript"/>
        </w:rPr>
        <w:t>26</w:t>
      </w:r>
      <w:r>
        <w:t>.</w:t>
      </w:r>
    </w:p>
    <w:p w:rsidR="00F646D5" w:rsidRDefault="00F646D5" w:rsidP="00F646D5">
      <w:pPr>
        <w:pStyle w:val="NormalWeb"/>
        <w:numPr>
          <w:ilvl w:val="0"/>
          <w:numId w:val="6"/>
        </w:numPr>
      </w:pPr>
      <w:r>
        <w:rPr>
          <w:rStyle w:val="citation-85"/>
          <w:b/>
          <w:bCs/>
        </w:rPr>
        <w:t>Market Impact:</w:t>
      </w:r>
      <w:r>
        <w:rPr>
          <w:rStyle w:val="citation-85"/>
        </w:rPr>
        <w:t xml:space="preserve"> </w:t>
      </w:r>
      <w:proofErr w:type="spellStart"/>
      <w:r>
        <w:rPr>
          <w:rStyle w:val="citation-85"/>
        </w:rPr>
        <w:t>MedCore</w:t>
      </w:r>
      <w:proofErr w:type="spellEnd"/>
      <w:r>
        <w:rPr>
          <w:rStyle w:val="citation-85"/>
        </w:rPr>
        <w:t xml:space="preserve"> becomes the standard "Protocol" for referrals between private and public hospitals in 3 key states</w:t>
      </w:r>
      <w:r>
        <w:rPr>
          <w:rStyle w:val="citation-85"/>
          <w:vertAlign w:val="superscript"/>
        </w:rPr>
        <w:t>27</w:t>
      </w:r>
      <w:r>
        <w:t>.</w:t>
      </w:r>
    </w:p>
    <w:p w:rsidR="00F646D5" w:rsidRDefault="00F646D5" w:rsidP="00F646D5">
      <w:pPr>
        <w:pStyle w:val="NormalWeb"/>
        <w:numPr>
          <w:ilvl w:val="0"/>
          <w:numId w:val="6"/>
        </w:numPr>
      </w:pPr>
      <w:r>
        <w:rPr>
          <w:rStyle w:val="citation-84"/>
          <w:b/>
          <w:bCs/>
        </w:rPr>
        <w:t>Financial Impact:</w:t>
      </w:r>
      <w:r>
        <w:rPr>
          <w:rStyle w:val="citation-84"/>
        </w:rPr>
        <w:t xml:space="preserve"> Achieving sustainability through "Institutional Subscriptions" where hospitals pay to reduce their diagnostic overhead</w:t>
      </w:r>
      <w:r>
        <w:rPr>
          <w:rStyle w:val="citation-84"/>
          <w:vertAlign w:val="superscript"/>
        </w:rPr>
        <w:t>28</w:t>
      </w:r>
      <w:r>
        <w:t>.</w:t>
      </w:r>
    </w:p>
    <w:p w:rsidR="00F40512" w:rsidRDefault="00F40512" w:rsidP="00F646D5">
      <w:pPr>
        <w:ind w:left="100" w:right="5711"/>
        <w:jc w:val="both"/>
        <w:rPr>
          <w:rFonts w:ascii="Arial" w:eastAsia="Arial" w:hAnsi="Arial" w:cs="Arial"/>
          <w:sz w:val="22"/>
          <w:szCs w:val="22"/>
        </w:rPr>
      </w:pPr>
    </w:p>
    <w:sectPr w:rsidR="00F40512" w:rsidSect="00F646D5">
      <w:type w:val="continuous"/>
      <w:pgSz w:w="12240" w:h="15840"/>
      <w:pgMar w:top="1440" w:right="14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554B"/>
    <w:multiLevelType w:val="multilevel"/>
    <w:tmpl w:val="CEE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74D0"/>
    <w:multiLevelType w:val="multilevel"/>
    <w:tmpl w:val="230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A5167"/>
    <w:multiLevelType w:val="multilevel"/>
    <w:tmpl w:val="3632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6A619B"/>
    <w:multiLevelType w:val="multilevel"/>
    <w:tmpl w:val="8E4ECCD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E921C3E"/>
    <w:multiLevelType w:val="multilevel"/>
    <w:tmpl w:val="3D1A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016DA"/>
    <w:multiLevelType w:val="multilevel"/>
    <w:tmpl w:val="DA3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512"/>
    <w:rsid w:val="00F40512"/>
    <w:rsid w:val="00F6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80256D-21FB-4B12-BBC0-3E22E582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646D5"/>
    <w:pPr>
      <w:spacing w:before="100" w:beforeAutospacing="1" w:after="100" w:afterAutospacing="1"/>
    </w:pPr>
    <w:rPr>
      <w:sz w:val="24"/>
      <w:szCs w:val="24"/>
    </w:rPr>
  </w:style>
  <w:style w:type="character" w:customStyle="1" w:styleId="citation-110">
    <w:name w:val="citation-110"/>
    <w:basedOn w:val="DefaultParagraphFont"/>
    <w:rsid w:val="00F646D5"/>
  </w:style>
  <w:style w:type="character" w:customStyle="1" w:styleId="citation-109">
    <w:name w:val="citation-109"/>
    <w:basedOn w:val="DefaultParagraphFont"/>
    <w:rsid w:val="00F646D5"/>
  </w:style>
  <w:style w:type="character" w:customStyle="1" w:styleId="citation-105">
    <w:name w:val="citation-105"/>
    <w:basedOn w:val="DefaultParagraphFont"/>
    <w:rsid w:val="00F646D5"/>
  </w:style>
  <w:style w:type="character" w:customStyle="1" w:styleId="citation-104">
    <w:name w:val="citation-104"/>
    <w:basedOn w:val="DefaultParagraphFont"/>
    <w:rsid w:val="00F646D5"/>
  </w:style>
  <w:style w:type="character" w:styleId="Strong">
    <w:name w:val="Strong"/>
    <w:basedOn w:val="DefaultParagraphFont"/>
    <w:uiPriority w:val="22"/>
    <w:qFormat/>
    <w:rsid w:val="00F646D5"/>
    <w:rPr>
      <w:b/>
      <w:bCs/>
    </w:rPr>
  </w:style>
  <w:style w:type="character" w:customStyle="1" w:styleId="citation-102">
    <w:name w:val="citation-102"/>
    <w:basedOn w:val="DefaultParagraphFont"/>
    <w:rsid w:val="00F646D5"/>
  </w:style>
  <w:style w:type="character" w:customStyle="1" w:styleId="citation-101">
    <w:name w:val="citation-101"/>
    <w:basedOn w:val="DefaultParagraphFont"/>
    <w:rsid w:val="00F646D5"/>
  </w:style>
  <w:style w:type="character" w:customStyle="1" w:styleId="citation-100">
    <w:name w:val="citation-100"/>
    <w:basedOn w:val="DefaultParagraphFont"/>
    <w:rsid w:val="00F646D5"/>
  </w:style>
  <w:style w:type="character" w:customStyle="1" w:styleId="citation-99">
    <w:name w:val="citation-99"/>
    <w:basedOn w:val="DefaultParagraphFont"/>
    <w:rsid w:val="00F646D5"/>
  </w:style>
  <w:style w:type="character" w:customStyle="1" w:styleId="citation-98">
    <w:name w:val="citation-98"/>
    <w:basedOn w:val="DefaultParagraphFont"/>
    <w:rsid w:val="00F646D5"/>
  </w:style>
  <w:style w:type="character" w:customStyle="1" w:styleId="citation-97">
    <w:name w:val="citation-97"/>
    <w:basedOn w:val="DefaultParagraphFont"/>
    <w:rsid w:val="00F646D5"/>
  </w:style>
  <w:style w:type="character" w:customStyle="1" w:styleId="citation-96">
    <w:name w:val="citation-96"/>
    <w:basedOn w:val="DefaultParagraphFont"/>
    <w:rsid w:val="00F646D5"/>
  </w:style>
  <w:style w:type="character" w:customStyle="1" w:styleId="citation-95">
    <w:name w:val="citation-95"/>
    <w:basedOn w:val="DefaultParagraphFont"/>
    <w:rsid w:val="00F646D5"/>
  </w:style>
  <w:style w:type="character" w:customStyle="1" w:styleId="citation-94">
    <w:name w:val="citation-94"/>
    <w:basedOn w:val="DefaultParagraphFont"/>
    <w:rsid w:val="00F646D5"/>
  </w:style>
  <w:style w:type="character" w:customStyle="1" w:styleId="citation-93">
    <w:name w:val="citation-93"/>
    <w:basedOn w:val="DefaultParagraphFont"/>
    <w:rsid w:val="00F646D5"/>
  </w:style>
  <w:style w:type="character" w:customStyle="1" w:styleId="citation-92">
    <w:name w:val="citation-92"/>
    <w:basedOn w:val="DefaultParagraphFont"/>
    <w:rsid w:val="00F646D5"/>
  </w:style>
  <w:style w:type="character" w:customStyle="1" w:styleId="citation-91">
    <w:name w:val="citation-91"/>
    <w:basedOn w:val="DefaultParagraphFont"/>
    <w:rsid w:val="00F646D5"/>
  </w:style>
  <w:style w:type="character" w:customStyle="1" w:styleId="citation-90">
    <w:name w:val="citation-90"/>
    <w:basedOn w:val="DefaultParagraphFont"/>
    <w:rsid w:val="00F646D5"/>
  </w:style>
  <w:style w:type="character" w:customStyle="1" w:styleId="citation-89">
    <w:name w:val="citation-89"/>
    <w:basedOn w:val="DefaultParagraphFont"/>
    <w:rsid w:val="00F646D5"/>
  </w:style>
  <w:style w:type="character" w:customStyle="1" w:styleId="citation-88">
    <w:name w:val="citation-88"/>
    <w:basedOn w:val="DefaultParagraphFont"/>
    <w:rsid w:val="00F646D5"/>
  </w:style>
  <w:style w:type="character" w:customStyle="1" w:styleId="citation-87">
    <w:name w:val="citation-87"/>
    <w:basedOn w:val="DefaultParagraphFont"/>
    <w:rsid w:val="00F646D5"/>
  </w:style>
  <w:style w:type="character" w:customStyle="1" w:styleId="citation-86">
    <w:name w:val="citation-86"/>
    <w:basedOn w:val="DefaultParagraphFont"/>
    <w:rsid w:val="00F646D5"/>
  </w:style>
  <w:style w:type="character" w:customStyle="1" w:styleId="citation-85">
    <w:name w:val="citation-85"/>
    <w:basedOn w:val="DefaultParagraphFont"/>
    <w:rsid w:val="00F646D5"/>
  </w:style>
  <w:style w:type="character" w:customStyle="1" w:styleId="citation-84">
    <w:name w:val="citation-84"/>
    <w:basedOn w:val="DefaultParagraphFont"/>
    <w:rsid w:val="00F64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Adonis &amp; Abbey</cp:lastModifiedBy>
  <cp:revision>2</cp:revision>
  <dcterms:created xsi:type="dcterms:W3CDTF">2026-01-14T12:30:00Z</dcterms:created>
  <dcterms:modified xsi:type="dcterms:W3CDTF">2026-01-14T12:31:00Z</dcterms:modified>
</cp:coreProperties>
</file>