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A7492" w14:textId="77B7C108" w:rsidR="00BC3F00" w:rsidRDefault="004A244E" w:rsidP="004A244E">
      <w:pPr>
        <w:jc w:val="center"/>
      </w:pPr>
      <w:r w:rsidRPr="004A244E">
        <w:rPr>
          <w:rFonts w:hint="eastAsia"/>
        </w:rPr>
        <w:t>世界有数のデジタル戦略企業へ - 三井物産のDX総合戦略</w:t>
      </w:r>
    </w:p>
    <w:p w14:paraId="5AD1DC3F" w14:textId="467E824C" w:rsidR="004A244E" w:rsidRPr="004A244E" w:rsidRDefault="004A244E" w:rsidP="004A244E">
      <w:pPr>
        <w:jc w:val="center"/>
      </w:pPr>
      <w:r>
        <w:rPr>
          <w:rFonts w:hint="eastAsia"/>
        </w:rPr>
        <w:t xml:space="preserve">      </w:t>
      </w:r>
      <w:r w:rsidRPr="004A244E">
        <w:rPr>
          <w:rFonts w:hint="eastAsia"/>
        </w:rPr>
        <w:t>デジタル総合戦略部</w:t>
      </w:r>
      <w:r>
        <w:rPr>
          <w:rFonts w:hint="eastAsia"/>
        </w:rPr>
        <w:t xml:space="preserve"> </w:t>
      </w:r>
      <w:r w:rsidR="00A5134F">
        <w:rPr>
          <w:rFonts w:hint="eastAsia"/>
        </w:rPr>
        <w:t>部長</w:t>
      </w:r>
      <w:r w:rsidRPr="004A244E">
        <w:rPr>
          <w:rFonts w:hint="eastAsia"/>
        </w:rPr>
        <w:t>補佐</w:t>
      </w:r>
      <w:r>
        <w:rPr>
          <w:rFonts w:hint="eastAsia"/>
        </w:rPr>
        <w:t xml:space="preserve"> </w:t>
      </w:r>
      <w:proofErr w:type="spellStart"/>
      <w:r w:rsidRPr="004A244E">
        <w:rPr>
          <w:rFonts w:hint="eastAsia"/>
        </w:rPr>
        <w:t>CoE</w:t>
      </w:r>
      <w:proofErr w:type="spellEnd"/>
      <w:r w:rsidRPr="004A244E">
        <w:rPr>
          <w:rFonts w:hint="eastAsia"/>
        </w:rPr>
        <w:t>(Center of Excellence) 関連組織管掌</w:t>
      </w:r>
      <w:r>
        <w:rPr>
          <w:rFonts w:hint="eastAsia"/>
        </w:rPr>
        <w:t xml:space="preserve"> </w:t>
      </w:r>
      <w:r w:rsidRPr="004A244E">
        <w:rPr>
          <w:rFonts w:hint="eastAsia"/>
        </w:rPr>
        <w:t>中島 ゑり</w:t>
      </w:r>
    </w:p>
    <w:p w14:paraId="60140A40" w14:textId="25FF6183" w:rsidR="002553A0" w:rsidRDefault="002553A0" w:rsidP="001022AC">
      <w:r>
        <w:rPr>
          <w:noProof/>
        </w:rPr>
        <w:drawing>
          <wp:inline distT="0" distB="0" distL="0" distR="0" wp14:anchorId="7483C47C" wp14:editId="6DC5A5B4">
            <wp:extent cx="5400040" cy="2183130"/>
            <wp:effectExtent l="0" t="0" r="0" b="7620"/>
            <wp:docPr id="419172549" name="図 1" descr="テキスト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72549" name="図 1" descr="テキスト が含まれている画像&#10;&#10;AI によって生成されたコンテンツは間違っている可能性があります。"/>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183130"/>
                    </a:xfrm>
                    <a:prstGeom prst="rect">
                      <a:avLst/>
                    </a:prstGeom>
                    <a:noFill/>
                    <a:ln>
                      <a:noFill/>
                    </a:ln>
                  </pic:spPr>
                </pic:pic>
              </a:graphicData>
            </a:graphic>
          </wp:inline>
        </w:drawing>
      </w:r>
    </w:p>
    <w:p w14:paraId="33F35DEB" w14:textId="29954F68" w:rsidR="001022AC" w:rsidRPr="001022AC" w:rsidRDefault="001022AC" w:rsidP="001022AC">
      <w:r w:rsidRPr="001022AC">
        <w:rPr>
          <w:rFonts w:hint="eastAsia"/>
        </w:rPr>
        <w:t>概要</w:t>
      </w:r>
    </w:p>
    <w:p w14:paraId="1A66E29B" w14:textId="77777777" w:rsidR="001022AC" w:rsidRPr="001022AC" w:rsidRDefault="001022AC" w:rsidP="001022AC">
      <w:r w:rsidRPr="001022AC">
        <w:rPr>
          <w:rFonts w:hint="eastAsia"/>
        </w:rPr>
        <w:t>世界有数のデジタル戦略企業への進化を目指す、総合商社の三井物産におけるDXへの取組みを紹介。核となるのは組織改革とPVV（Purpose・Vision・Values）及び戦略の策定・実行。組織改革ではデジタル総合戦略部の組成経緯と、DXを推進するための経営体制につき紹介。Globalで約260名にて構成されるデジタル総合戦略部の組織員は部が組成される際に設定されたPVVにより全員が同じ方向に向け進む。戦略の中心となるDX総合戦略はDX事業戦略とDD経営戦略、DX人材戦略にて構成され、各戦略につき具体的な三井物産グループにおけるDX事例とともに紹介する。</w:t>
      </w:r>
    </w:p>
    <w:p w14:paraId="0D528EF0" w14:textId="77777777" w:rsidR="004A244E" w:rsidRDefault="004A244E"/>
    <w:p w14:paraId="1962EBCD" w14:textId="14FF7B4D" w:rsidR="002553A0" w:rsidRDefault="002553A0">
      <w:r>
        <w:rPr>
          <w:rFonts w:hint="eastAsia"/>
        </w:rPr>
        <w:t>＜感想＞</w:t>
      </w:r>
    </w:p>
    <w:p w14:paraId="5B26A985" w14:textId="738C7CE4" w:rsidR="00B030E5" w:rsidRPr="00B030E5" w:rsidRDefault="00B030E5">
      <w:pPr>
        <w:rPr>
          <w:rFonts w:hint="eastAsia"/>
          <w:u w:val="single"/>
        </w:rPr>
      </w:pPr>
      <w:r w:rsidRPr="00B030E5">
        <w:rPr>
          <w:rFonts w:hint="eastAsia"/>
          <w:u w:val="single"/>
        </w:rPr>
        <w:t>三井物産</w:t>
      </w:r>
      <w:r w:rsidRPr="00B030E5">
        <w:rPr>
          <w:rFonts w:hint="eastAsia"/>
          <w:u w:val="single"/>
        </w:rPr>
        <w:t>の</w:t>
      </w:r>
      <w:r w:rsidRPr="00B030E5">
        <w:rPr>
          <w:rFonts w:hint="eastAsia"/>
          <w:u w:val="single"/>
        </w:rPr>
        <w:t>DX</w:t>
      </w:r>
    </w:p>
    <w:p w14:paraId="469040A5" w14:textId="22B3288C" w:rsidR="00B030E5" w:rsidRDefault="00B030E5">
      <w:r w:rsidRPr="00B030E5">
        <w:drawing>
          <wp:inline distT="0" distB="0" distL="0" distR="0" wp14:anchorId="4E274AB7" wp14:editId="328760A8">
            <wp:extent cx="5400040" cy="2521585"/>
            <wp:effectExtent l="0" t="0" r="0" b="0"/>
            <wp:docPr id="452117693" name="図 1"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17693" name="図 1" descr="ダイアグラム&#10;&#10;AI によって生成されたコンテンツは間違っている可能性があります。"/>
                    <pic:cNvPicPr/>
                  </pic:nvPicPr>
                  <pic:blipFill>
                    <a:blip r:embed="rId5"/>
                    <a:stretch>
                      <a:fillRect/>
                    </a:stretch>
                  </pic:blipFill>
                  <pic:spPr>
                    <a:xfrm>
                      <a:off x="0" y="0"/>
                      <a:ext cx="5400040" cy="2521585"/>
                    </a:xfrm>
                    <a:prstGeom prst="rect">
                      <a:avLst/>
                    </a:prstGeom>
                  </pic:spPr>
                </pic:pic>
              </a:graphicData>
            </a:graphic>
          </wp:inline>
        </w:drawing>
      </w:r>
    </w:p>
    <w:p w14:paraId="2FC40CBF" w14:textId="10B9B224" w:rsidR="00B030E5" w:rsidRDefault="00B030E5" w:rsidP="00647BD7">
      <w:pPr>
        <w:widowControl w:val="0"/>
        <w:rPr>
          <w:rFonts w:hint="eastAsia"/>
        </w:rPr>
      </w:pPr>
      <w:r>
        <w:rPr>
          <w:rFonts w:hint="eastAsia"/>
        </w:rPr>
        <w:t>あくまでもTransformするのは</w:t>
      </w:r>
      <w:r w:rsidR="002627C2">
        <w:rPr>
          <w:rFonts w:hint="eastAsia"/>
        </w:rPr>
        <w:t>業務</w:t>
      </w:r>
      <w:r>
        <w:rPr>
          <w:rFonts w:hint="eastAsia"/>
        </w:rPr>
        <w:t>のやり方</w:t>
      </w:r>
      <w:r w:rsidR="00647BD7">
        <w:rPr>
          <w:rFonts w:hint="eastAsia"/>
        </w:rPr>
        <w:t>で、Operation Technology</w:t>
      </w:r>
      <w:r w:rsidR="00C57BD7">
        <w:rPr>
          <w:rFonts w:hint="eastAsia"/>
        </w:rPr>
        <w:t>がないとDXが始</w:t>
      </w:r>
      <w:r w:rsidR="00C57BD7">
        <w:rPr>
          <w:rFonts w:hint="eastAsia"/>
        </w:rPr>
        <w:lastRenderedPageBreak/>
        <w:t>められない。</w:t>
      </w:r>
    </w:p>
    <w:p w14:paraId="61419BDC" w14:textId="01A29EDE" w:rsidR="00171547" w:rsidRPr="00725A1F" w:rsidRDefault="00171547">
      <w:pPr>
        <w:rPr>
          <w:u w:val="single"/>
        </w:rPr>
      </w:pPr>
      <w:r w:rsidRPr="00725A1F">
        <w:rPr>
          <w:rFonts w:hint="eastAsia"/>
          <w:u w:val="single"/>
        </w:rPr>
        <w:t>組織改革について</w:t>
      </w:r>
    </w:p>
    <w:p w14:paraId="6B1A802B" w14:textId="40183545" w:rsidR="00725A1F" w:rsidRDefault="005A0A04">
      <w:r>
        <w:rPr>
          <w:rFonts w:hint="eastAsia"/>
        </w:rPr>
        <w:t>まずは、</w:t>
      </w:r>
      <w:r w:rsidR="00D73FC3" w:rsidRPr="00D73FC3">
        <w:t>DX戦略</w:t>
      </w:r>
      <w:r w:rsidR="00D73FC3">
        <w:rPr>
          <w:rFonts w:hint="eastAsia"/>
        </w:rPr>
        <w:t>を進めていた、</w:t>
      </w:r>
      <w:r w:rsidR="006E5BEC" w:rsidRPr="006E5BEC">
        <w:t>システム開発や保守管理</w:t>
      </w:r>
      <w:r>
        <w:rPr>
          <w:rFonts w:hint="eastAsia"/>
        </w:rPr>
        <w:t>を行う</w:t>
      </w:r>
      <w:r w:rsidR="0093162A">
        <w:rPr>
          <w:rFonts w:hint="eastAsia"/>
        </w:rPr>
        <w:t>“保守的な”</w:t>
      </w:r>
      <w:r>
        <w:rPr>
          <w:rFonts w:hint="eastAsia"/>
        </w:rPr>
        <w:t>IT</w:t>
      </w:r>
      <w:r w:rsidR="00A93CEA">
        <w:rPr>
          <w:rFonts w:hint="eastAsia"/>
        </w:rPr>
        <w:t>推進部</w:t>
      </w:r>
      <w:r w:rsidR="0093162A">
        <w:rPr>
          <w:rFonts w:hint="eastAsia"/>
        </w:rPr>
        <w:t>と</w:t>
      </w:r>
      <w:r w:rsidR="00670BDC" w:rsidRPr="00670BDC">
        <w:t>デジタル技術で新規ビジネスや経営の効率化を図る</w:t>
      </w:r>
      <w:r w:rsidR="0093162A">
        <w:rPr>
          <w:rFonts w:hint="eastAsia"/>
        </w:rPr>
        <w:t>“攻めの”</w:t>
      </w:r>
      <w:r w:rsidR="00826034">
        <w:rPr>
          <w:rFonts w:hint="eastAsia"/>
        </w:rPr>
        <w:t>経営企画部</w:t>
      </w:r>
      <w:r w:rsidR="0093162A">
        <w:rPr>
          <w:rFonts w:hint="eastAsia"/>
        </w:rPr>
        <w:t>DT</w:t>
      </w:r>
      <w:r w:rsidR="00CE3357" w:rsidRPr="00CE3357">
        <w:t>（ Digital Transformation）</w:t>
      </w:r>
      <w:r w:rsidR="00CE3357">
        <w:rPr>
          <w:rFonts w:hint="eastAsia"/>
        </w:rPr>
        <w:t>チーム</w:t>
      </w:r>
      <w:r w:rsidR="00750688">
        <w:rPr>
          <w:rFonts w:hint="eastAsia"/>
        </w:rPr>
        <w:t>の２つを</w:t>
      </w:r>
      <w:r w:rsidR="00750688" w:rsidRPr="006632AC">
        <w:t>デジタル総合戦略部</w:t>
      </w:r>
      <w:r w:rsidR="00750688">
        <w:rPr>
          <w:rFonts w:hint="eastAsia"/>
        </w:rPr>
        <w:t>とし</w:t>
      </w:r>
      <w:r w:rsidR="00750688">
        <w:rPr>
          <w:rFonts w:hint="eastAsia"/>
        </w:rPr>
        <w:t>て</w:t>
      </w:r>
      <w:r w:rsidR="001834CA">
        <w:rPr>
          <w:rFonts w:hint="eastAsia"/>
        </w:rPr>
        <w:t>1つに統合し</w:t>
      </w:r>
      <w:r w:rsidR="00750688">
        <w:rPr>
          <w:rFonts w:hint="eastAsia"/>
        </w:rPr>
        <w:t>た</w:t>
      </w:r>
      <w:r w:rsidR="006632AC">
        <w:rPr>
          <w:rFonts w:hint="eastAsia"/>
        </w:rPr>
        <w:t>。</w:t>
      </w:r>
    </w:p>
    <w:p w14:paraId="36393FC7" w14:textId="4FDDDE27" w:rsidR="001B62C2" w:rsidRDefault="00EC5CB2">
      <w:r>
        <w:rPr>
          <w:rFonts w:hint="eastAsia"/>
        </w:rPr>
        <w:t>その後、</w:t>
      </w:r>
      <w:r w:rsidRPr="00EC5CB2">
        <w:t>さらにセグメント業務部の情報戦略推進組織と営業個別システム組織</w:t>
      </w:r>
      <w:r w:rsidR="00A64891">
        <w:rPr>
          <w:rFonts w:hint="eastAsia"/>
        </w:rPr>
        <w:t>、</w:t>
      </w:r>
      <w:r w:rsidR="00A64891" w:rsidRPr="00A64891">
        <w:t>財務システム群、ロジスティック戦略部の貿易システム群、人事総務部の人事・総務システム群、広報部の広報システム部といったコーポレートシステム群</w:t>
      </w:r>
      <w:r w:rsidR="00A410B6">
        <w:rPr>
          <w:rFonts w:hint="eastAsia"/>
        </w:rPr>
        <w:t>も</w:t>
      </w:r>
      <w:r w:rsidRPr="00EC5CB2">
        <w:t>デジタル総合戦略部に統合</w:t>
      </w:r>
      <w:r w:rsidR="00C53F72">
        <w:rPr>
          <w:rFonts w:hint="eastAsia"/>
        </w:rPr>
        <w:t>することで</w:t>
      </w:r>
      <w:r>
        <w:rPr>
          <w:rFonts w:hint="eastAsia"/>
        </w:rPr>
        <w:t>、</w:t>
      </w:r>
      <w:r w:rsidR="00C53F72" w:rsidRPr="00C53F72">
        <w:t>データのサイロ化</w:t>
      </w:r>
      <w:r w:rsidR="00C53F72">
        <w:rPr>
          <w:rFonts w:hint="eastAsia"/>
        </w:rPr>
        <w:t>を防ぎ、</w:t>
      </w:r>
      <w:r w:rsidR="00F75DB5" w:rsidRPr="00F75DB5">
        <w:t>三井物産グループ全体のDXを推進</w:t>
      </w:r>
      <w:r w:rsidR="00C53F72">
        <w:rPr>
          <w:rFonts w:hint="eastAsia"/>
        </w:rPr>
        <w:t>できるようにした。</w:t>
      </w:r>
    </w:p>
    <w:p w14:paraId="51B892F3" w14:textId="030C5BFF" w:rsidR="00EC53F4" w:rsidRPr="00EC53F4" w:rsidRDefault="00EC53F4">
      <w:pPr>
        <w:rPr>
          <w:rFonts w:hint="eastAsia"/>
        </w:rPr>
      </w:pPr>
      <w:r>
        <w:rPr>
          <w:rFonts w:hint="eastAsia"/>
        </w:rPr>
        <w:t>データのサイロ化を防ぐことで、DD(Data-Driven)経営が</w:t>
      </w:r>
      <w:r w:rsidR="008A7A82">
        <w:rPr>
          <w:rFonts w:hint="eastAsia"/>
        </w:rPr>
        <w:t>しやすくなる。</w:t>
      </w:r>
    </w:p>
    <w:p w14:paraId="3D5E559E" w14:textId="77777777" w:rsidR="00171547" w:rsidRPr="006E5BEC" w:rsidRDefault="00171547">
      <w:pPr>
        <w:rPr>
          <w:rFonts w:hint="eastAsia"/>
        </w:rPr>
      </w:pPr>
    </w:p>
    <w:p w14:paraId="31C7A89F" w14:textId="41FE0EAD" w:rsidR="001C6139" w:rsidRPr="001D6476" w:rsidRDefault="001C6139">
      <w:pPr>
        <w:rPr>
          <w:rFonts w:hint="eastAsia"/>
          <w:u w:val="single"/>
        </w:rPr>
      </w:pPr>
      <w:r w:rsidRPr="001D6476">
        <w:rPr>
          <w:rFonts w:hint="eastAsia"/>
          <w:u w:val="single"/>
        </w:rPr>
        <w:t>デジタル総合戦略部</w:t>
      </w:r>
      <w:r w:rsidR="001D6476" w:rsidRPr="001D6476">
        <w:rPr>
          <w:rFonts w:hint="eastAsia"/>
          <w:u w:val="single"/>
        </w:rPr>
        <w:t>での</w:t>
      </w:r>
      <w:r w:rsidR="001D6476" w:rsidRPr="001D6476">
        <w:rPr>
          <w:rFonts w:hint="eastAsia"/>
          <w:u w:val="single"/>
        </w:rPr>
        <w:t>PVV</w:t>
      </w:r>
      <w:r w:rsidR="001D6476" w:rsidRPr="001D6476">
        <w:rPr>
          <w:rFonts w:hint="eastAsia"/>
          <w:u w:val="single"/>
        </w:rPr>
        <w:t>について</w:t>
      </w:r>
    </w:p>
    <w:p w14:paraId="4E79EE38" w14:textId="77777777" w:rsidR="00E75F54" w:rsidRDefault="00B20916">
      <w:r>
        <w:rPr>
          <w:rFonts w:hint="eastAsia"/>
        </w:rPr>
        <w:t>Purpose：</w:t>
      </w:r>
    </w:p>
    <w:p w14:paraId="64BCBA65" w14:textId="141D98C1" w:rsidR="008B4823" w:rsidRDefault="00451CB9" w:rsidP="00E75F54">
      <w:pPr>
        <w:ind w:firstLineChars="100" w:firstLine="210"/>
      </w:pPr>
      <w:r>
        <w:rPr>
          <w:rFonts w:hint="eastAsia"/>
        </w:rPr>
        <w:t>わたしたちはデジタルの力で新たな価値を創ります</w:t>
      </w:r>
    </w:p>
    <w:p w14:paraId="4B63386A" w14:textId="77777777" w:rsidR="00E75F54" w:rsidRDefault="002F580A">
      <w:r>
        <w:rPr>
          <w:rFonts w:hint="eastAsia"/>
        </w:rPr>
        <w:t>Vison：</w:t>
      </w:r>
    </w:p>
    <w:p w14:paraId="038DD422" w14:textId="36B4A679" w:rsidR="00451CB9" w:rsidRDefault="002F580A" w:rsidP="00E75F54">
      <w:pPr>
        <w:ind w:firstLineChars="100" w:firstLine="210"/>
      </w:pPr>
      <w:r>
        <w:rPr>
          <w:rFonts w:hint="eastAsia"/>
        </w:rPr>
        <w:t>わたしたちは、世界有数のデジタル戦略企業への進化を</w:t>
      </w:r>
      <w:r w:rsidR="00B9769C">
        <w:rPr>
          <w:rFonts w:hint="eastAsia"/>
        </w:rPr>
        <w:t>リードする中核組織となります</w:t>
      </w:r>
    </w:p>
    <w:p w14:paraId="6FA92369" w14:textId="77777777" w:rsidR="00E75F54" w:rsidRDefault="00B9769C">
      <w:r>
        <w:rPr>
          <w:rFonts w:hint="eastAsia"/>
        </w:rPr>
        <w:t>Value：</w:t>
      </w:r>
    </w:p>
    <w:p w14:paraId="6C6335DA" w14:textId="387806C9" w:rsidR="00B9769C" w:rsidRDefault="00B9769C" w:rsidP="00E75F54">
      <w:pPr>
        <w:ind w:firstLineChars="100" w:firstLine="210"/>
      </w:pPr>
      <w:r>
        <w:rPr>
          <w:rFonts w:hint="eastAsia"/>
        </w:rPr>
        <w:t>・なぜできないかではなく、</w:t>
      </w:r>
      <w:r w:rsidR="00E75F54">
        <w:rPr>
          <w:rFonts w:hint="eastAsia"/>
        </w:rPr>
        <w:t xml:space="preserve">どうすればできるかを考える </w:t>
      </w:r>
      <w:r w:rsidR="00E75F54">
        <w:t>–</w:t>
      </w:r>
      <w:r w:rsidR="00E75F54">
        <w:rPr>
          <w:rFonts w:hint="eastAsia"/>
        </w:rPr>
        <w:t xml:space="preserve"> 否定させない</w:t>
      </w:r>
    </w:p>
    <w:p w14:paraId="759F7747" w14:textId="440A0761" w:rsidR="00E75F54" w:rsidRDefault="00E75F54">
      <w:r>
        <w:rPr>
          <w:rFonts w:hint="eastAsia"/>
        </w:rPr>
        <w:t xml:space="preserve">　・</w:t>
      </w:r>
      <w:r w:rsidR="004D1B89">
        <w:rPr>
          <w:rFonts w:hint="eastAsia"/>
        </w:rPr>
        <w:t xml:space="preserve">変わること、帰ることを楽しむ </w:t>
      </w:r>
      <w:r w:rsidR="004D1B89">
        <w:t>–</w:t>
      </w:r>
      <w:r w:rsidR="004D1B89">
        <w:rPr>
          <w:rFonts w:hint="eastAsia"/>
        </w:rPr>
        <w:t xml:space="preserve"> 変わられる前に変われ</w:t>
      </w:r>
    </w:p>
    <w:p w14:paraId="0EA5BF20" w14:textId="3B37E259" w:rsidR="004D1B89" w:rsidRPr="004D1B89" w:rsidRDefault="004D1B89">
      <w:pPr>
        <w:rPr>
          <w:rFonts w:hint="eastAsia"/>
        </w:rPr>
      </w:pPr>
      <w:r>
        <w:rPr>
          <w:rFonts w:hint="eastAsia"/>
        </w:rPr>
        <w:t xml:space="preserve">　・協働し、まだ見ぬ景色を創り出す </w:t>
      </w:r>
      <w:r>
        <w:t>–</w:t>
      </w:r>
      <w:r>
        <w:rPr>
          <w:rFonts w:hint="eastAsia"/>
        </w:rPr>
        <w:t xml:space="preserve"> 弱兵には弱兵の戦い方 </w:t>
      </w:r>
      <w:r>
        <w:t>“</w:t>
      </w:r>
      <w:r>
        <w:rPr>
          <w:rFonts w:hint="eastAsia"/>
        </w:rPr>
        <w:t>Collective Genius</w:t>
      </w:r>
      <w:r>
        <w:t>”</w:t>
      </w:r>
    </w:p>
    <w:p w14:paraId="12138F9C" w14:textId="509853EB" w:rsidR="00825A74" w:rsidRDefault="00825A74">
      <w:r>
        <w:rPr>
          <w:rFonts w:hint="eastAsia"/>
        </w:rPr>
        <w:t>スローガン：</w:t>
      </w:r>
    </w:p>
    <w:p w14:paraId="4AD6DFEC" w14:textId="26AFB9E6" w:rsidR="00825A74" w:rsidRDefault="00825A74">
      <w:r>
        <w:rPr>
          <w:rFonts w:hint="eastAsia"/>
        </w:rPr>
        <w:t xml:space="preserve">　Unlock Yourself, Rock the World!</w:t>
      </w:r>
    </w:p>
    <w:p w14:paraId="20368C87" w14:textId="5959E278" w:rsidR="00825A74" w:rsidRDefault="00825A74" w:rsidP="00F33CF6">
      <w:pPr>
        <w:widowControl w:val="0"/>
        <w:rPr>
          <w:rFonts w:hint="eastAsia"/>
        </w:rPr>
      </w:pPr>
      <w:r>
        <w:rPr>
          <w:rFonts w:hint="eastAsia"/>
        </w:rPr>
        <w:t xml:space="preserve">　（自分を</w:t>
      </w:r>
      <w:r w:rsidR="00B45B48">
        <w:rPr>
          <w:rFonts w:hint="eastAsia"/>
        </w:rPr>
        <w:t>開放</w:t>
      </w:r>
      <w:r>
        <w:rPr>
          <w:rFonts w:hint="eastAsia"/>
        </w:rPr>
        <w:t>し、世界を震撼さ</w:t>
      </w:r>
      <w:r w:rsidR="00C36456">
        <w:rPr>
          <w:rFonts w:hint="eastAsia"/>
        </w:rPr>
        <w:t>せ</w:t>
      </w:r>
      <w:r>
        <w:rPr>
          <w:rFonts w:hint="eastAsia"/>
        </w:rPr>
        <w:t>る事業をしよう！）</w:t>
      </w:r>
    </w:p>
    <w:p w14:paraId="2B736E82" w14:textId="5BD2C5E1" w:rsidR="008B4823" w:rsidRDefault="001C6139" w:rsidP="00F33CF6">
      <w:pPr>
        <w:widowControl w:val="0"/>
      </w:pPr>
      <w:r>
        <w:rPr>
          <w:rFonts w:hint="eastAsia"/>
        </w:rPr>
        <w:t>を掲げ、</w:t>
      </w:r>
      <w:r w:rsidR="00F34ECB">
        <w:rPr>
          <w:rFonts w:hint="eastAsia"/>
        </w:rPr>
        <w:t>業務に取り組んでいる。</w:t>
      </w:r>
    </w:p>
    <w:p w14:paraId="0CFEF1E6" w14:textId="5EEB8EA1" w:rsidR="00F33CF6" w:rsidRDefault="00865350" w:rsidP="00F33CF6">
      <w:pPr>
        <w:widowControl w:val="0"/>
      </w:pPr>
      <w:r>
        <w:rPr>
          <w:rFonts w:hint="eastAsia"/>
        </w:rPr>
        <w:t>Purpos</w:t>
      </w:r>
      <w:r w:rsidR="00A32211">
        <w:rPr>
          <w:rFonts w:hint="eastAsia"/>
        </w:rPr>
        <w:t>e</w:t>
      </w:r>
      <w:r w:rsidR="007A2AC0">
        <w:rPr>
          <w:rFonts w:hint="eastAsia"/>
        </w:rPr>
        <w:t>においては、</w:t>
      </w:r>
      <w:r w:rsidR="006D07DF">
        <w:rPr>
          <w:rFonts w:hint="eastAsia"/>
        </w:rPr>
        <w:t>デジタル化による効果額</w:t>
      </w:r>
      <w:r w:rsidR="00915813">
        <w:rPr>
          <w:rFonts w:hint="eastAsia"/>
        </w:rPr>
        <w:t>を算出</w:t>
      </w:r>
      <w:r w:rsidR="009375E2">
        <w:rPr>
          <w:rFonts w:hint="eastAsia"/>
        </w:rPr>
        <w:t>するなど明確な</w:t>
      </w:r>
      <w:r w:rsidR="00323676">
        <w:rPr>
          <w:rFonts w:hint="eastAsia"/>
        </w:rPr>
        <w:t>定量値を求め</w:t>
      </w:r>
      <w:r w:rsidR="00661877">
        <w:rPr>
          <w:rFonts w:hint="eastAsia"/>
        </w:rPr>
        <w:t>、</w:t>
      </w:r>
      <w:r w:rsidR="00915813">
        <w:rPr>
          <w:rFonts w:hint="eastAsia"/>
        </w:rPr>
        <w:t>その数値をもとに</w:t>
      </w:r>
      <w:r w:rsidR="00F33CF6">
        <w:rPr>
          <w:rFonts w:hint="eastAsia"/>
        </w:rPr>
        <w:t>会社や社長にコミット</w:t>
      </w:r>
      <w:r w:rsidR="00323676">
        <w:rPr>
          <w:rFonts w:hint="eastAsia"/>
        </w:rPr>
        <w:t>する。</w:t>
      </w:r>
    </w:p>
    <w:p w14:paraId="5680ABC5" w14:textId="0783E5F3" w:rsidR="00323676" w:rsidRDefault="00323676" w:rsidP="00F33CF6">
      <w:pPr>
        <w:widowControl w:val="0"/>
        <w:rPr>
          <w:rFonts w:hint="eastAsia"/>
        </w:rPr>
      </w:pPr>
      <w:r>
        <w:rPr>
          <w:rFonts w:hint="eastAsia"/>
        </w:rPr>
        <w:t>Vison</w:t>
      </w:r>
      <w:r w:rsidR="00161B53">
        <w:rPr>
          <w:rFonts w:hint="eastAsia"/>
        </w:rPr>
        <w:t>においては、GoogleやMicrosoftを目指すのではなく、世界一のユーザー企業を目指す。</w:t>
      </w:r>
    </w:p>
    <w:p w14:paraId="75A95FDE" w14:textId="77777777" w:rsidR="008B4823" w:rsidRDefault="008B4823"/>
    <w:p w14:paraId="36427ED1" w14:textId="003AE63B" w:rsidR="00FB3FC2" w:rsidRPr="00FB3FC2" w:rsidRDefault="00FB3FC2">
      <w:pPr>
        <w:rPr>
          <w:u w:val="single"/>
        </w:rPr>
      </w:pPr>
      <w:r w:rsidRPr="00FB3FC2">
        <w:rPr>
          <w:rFonts w:hint="eastAsia"/>
          <w:u w:val="single"/>
        </w:rPr>
        <w:t>DX人材</w:t>
      </w:r>
      <w:r w:rsidR="00E43E2E">
        <w:rPr>
          <w:rFonts w:hint="eastAsia"/>
          <w:u w:val="single"/>
        </w:rPr>
        <w:t>戦略</w:t>
      </w:r>
    </w:p>
    <w:p w14:paraId="50790FD3" w14:textId="774FD5AC" w:rsidR="00FB3FC2" w:rsidRDefault="00F025E9">
      <w:r>
        <w:rPr>
          <w:rFonts w:hint="eastAsia"/>
        </w:rPr>
        <w:t>三井物産にはビジネス人材は多数おり、DX技術人材も</w:t>
      </w:r>
      <w:r w:rsidR="00C404AC">
        <w:rPr>
          <w:rFonts w:hint="eastAsia"/>
        </w:rPr>
        <w:t>ビジネス人材よりは少ないがいる。ただし、</w:t>
      </w:r>
      <w:r w:rsidR="000361E1">
        <w:rPr>
          <w:rFonts w:hint="eastAsia"/>
        </w:rPr>
        <w:t>ビジネスとデジタルの両方に精通しているDXビジネス人材は少ないので、様々な研修や</w:t>
      </w:r>
      <w:r w:rsidR="00980FA0">
        <w:rPr>
          <w:rFonts w:hint="eastAsia"/>
        </w:rPr>
        <w:t>カリキュラム</w:t>
      </w:r>
      <w:r w:rsidR="003B1255">
        <w:rPr>
          <w:rFonts w:hint="eastAsia"/>
        </w:rPr>
        <w:t>を通じて育成を行っている。</w:t>
      </w:r>
    </w:p>
    <w:p w14:paraId="53459D4F" w14:textId="72E346FF" w:rsidR="00FB3FC2" w:rsidRDefault="00FB3FC2">
      <w:pPr>
        <w:rPr>
          <w:rFonts w:hint="eastAsia"/>
        </w:rPr>
      </w:pPr>
      <w:r w:rsidRPr="00FB3FC2">
        <w:lastRenderedPageBreak/>
        <w:drawing>
          <wp:inline distT="0" distB="0" distL="0" distR="0" wp14:anchorId="1427A7EB" wp14:editId="22AF16C3">
            <wp:extent cx="5400040" cy="2334260"/>
            <wp:effectExtent l="0" t="0" r="0" b="8890"/>
            <wp:docPr id="164343861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8610" name="図 1" descr="テキスト&#10;&#10;AI によって生成されたコンテンツは間違っている可能性があります。"/>
                    <pic:cNvPicPr/>
                  </pic:nvPicPr>
                  <pic:blipFill>
                    <a:blip r:embed="rId6"/>
                    <a:stretch>
                      <a:fillRect/>
                    </a:stretch>
                  </pic:blipFill>
                  <pic:spPr>
                    <a:xfrm>
                      <a:off x="0" y="0"/>
                      <a:ext cx="5400040" cy="2334260"/>
                    </a:xfrm>
                    <a:prstGeom prst="rect">
                      <a:avLst/>
                    </a:prstGeom>
                  </pic:spPr>
                </pic:pic>
              </a:graphicData>
            </a:graphic>
          </wp:inline>
        </w:drawing>
      </w:r>
    </w:p>
    <w:p w14:paraId="3999977B" w14:textId="77777777" w:rsidR="00FB3FC2" w:rsidRDefault="00FB3FC2"/>
    <w:p w14:paraId="0A38F4F6" w14:textId="77777777" w:rsidR="00C84914" w:rsidRDefault="00C84914">
      <w:pPr>
        <w:rPr>
          <w:rFonts w:hint="eastAsia"/>
        </w:rPr>
      </w:pPr>
    </w:p>
    <w:p w14:paraId="25279F7B" w14:textId="711D00B6" w:rsidR="008B4823" w:rsidRDefault="008B4823">
      <w:pPr>
        <w:rPr>
          <w:rFonts w:hint="eastAsia"/>
        </w:rPr>
      </w:pPr>
      <w:r>
        <w:rPr>
          <w:rFonts w:hint="eastAsia"/>
        </w:rPr>
        <w:t>参考資料：</w:t>
      </w:r>
    </w:p>
    <w:p w14:paraId="6E3AE899" w14:textId="6D299AE4" w:rsidR="002553A0" w:rsidRDefault="007D20F8">
      <w:hyperlink r:id="rId7" w:history="1">
        <w:r w:rsidRPr="007D20F8">
          <w:rPr>
            <w:rStyle w:val="aa"/>
          </w:rPr>
          <w:t>三井物産 DX案件紹介資料</w:t>
        </w:r>
      </w:hyperlink>
    </w:p>
    <w:p w14:paraId="38960008" w14:textId="46187A20" w:rsidR="00F35B6E" w:rsidRDefault="00F35B6E">
      <w:hyperlink r:id="rId8" w:history="1">
        <w:r w:rsidRPr="00F35B6E">
          <w:rPr>
            <w:rStyle w:val="aa"/>
          </w:rPr>
          <w:t>三井物産のDX | 三井物産について | 会社情報 | 三井物産株式会社</w:t>
        </w:r>
      </w:hyperlink>
    </w:p>
    <w:p w14:paraId="379C50F4" w14:textId="5CF81059" w:rsidR="00E048C4" w:rsidRDefault="00E048C4">
      <w:hyperlink r:id="rId9" w:history="1">
        <w:r w:rsidRPr="00E048C4">
          <w:rPr>
            <w:rStyle w:val="aa"/>
          </w:rPr>
          <w:t>三井物産のDX戦略を進めるデジタル総合戦略部の全貌 | CIO</w:t>
        </w:r>
      </w:hyperlink>
    </w:p>
    <w:p w14:paraId="79395E95" w14:textId="640E9E4E" w:rsidR="00444CD4" w:rsidRPr="001022AC" w:rsidRDefault="00444CD4">
      <w:pPr>
        <w:rPr>
          <w:rFonts w:hint="eastAsia"/>
        </w:rPr>
      </w:pPr>
      <w:hyperlink r:id="rId10" w:history="1">
        <w:r w:rsidRPr="00444CD4">
          <w:rPr>
            <w:rStyle w:val="aa"/>
          </w:rPr>
          <w:t>DX総合戦略</w:t>
        </w:r>
      </w:hyperlink>
    </w:p>
    <w:sectPr w:rsidR="00444CD4" w:rsidRPr="001022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31"/>
    <w:rsid w:val="00031C41"/>
    <w:rsid w:val="000361E1"/>
    <w:rsid w:val="00062964"/>
    <w:rsid w:val="000B4EFA"/>
    <w:rsid w:val="001022AC"/>
    <w:rsid w:val="00161B53"/>
    <w:rsid w:val="001709F5"/>
    <w:rsid w:val="00171547"/>
    <w:rsid w:val="001825A4"/>
    <w:rsid w:val="001834CA"/>
    <w:rsid w:val="001B62C2"/>
    <w:rsid w:val="001C6139"/>
    <w:rsid w:val="001C7FBD"/>
    <w:rsid w:val="001D144D"/>
    <w:rsid w:val="001D6476"/>
    <w:rsid w:val="001E0F37"/>
    <w:rsid w:val="001F6513"/>
    <w:rsid w:val="00215B6F"/>
    <w:rsid w:val="002553A0"/>
    <w:rsid w:val="002627C2"/>
    <w:rsid w:val="00265131"/>
    <w:rsid w:val="002F580A"/>
    <w:rsid w:val="00323676"/>
    <w:rsid w:val="00380518"/>
    <w:rsid w:val="003A23FB"/>
    <w:rsid w:val="003A305B"/>
    <w:rsid w:val="003B1255"/>
    <w:rsid w:val="003B68EF"/>
    <w:rsid w:val="003E397E"/>
    <w:rsid w:val="00444CD4"/>
    <w:rsid w:val="00451CB9"/>
    <w:rsid w:val="00497B27"/>
    <w:rsid w:val="004A244E"/>
    <w:rsid w:val="004D1B89"/>
    <w:rsid w:val="005534A2"/>
    <w:rsid w:val="005A0A04"/>
    <w:rsid w:val="00637FA6"/>
    <w:rsid w:val="00647BD7"/>
    <w:rsid w:val="00661877"/>
    <w:rsid w:val="006632AC"/>
    <w:rsid w:val="00670BDC"/>
    <w:rsid w:val="006C6A50"/>
    <w:rsid w:val="006D07DF"/>
    <w:rsid w:val="006E5BEC"/>
    <w:rsid w:val="00725A1F"/>
    <w:rsid w:val="00750688"/>
    <w:rsid w:val="007A2AC0"/>
    <w:rsid w:val="007D20F8"/>
    <w:rsid w:val="00825A74"/>
    <w:rsid w:val="00826034"/>
    <w:rsid w:val="00865350"/>
    <w:rsid w:val="008A7A82"/>
    <w:rsid w:val="008B4823"/>
    <w:rsid w:val="00915813"/>
    <w:rsid w:val="0093162A"/>
    <w:rsid w:val="009375E2"/>
    <w:rsid w:val="00980FA0"/>
    <w:rsid w:val="00A32211"/>
    <w:rsid w:val="00A410B6"/>
    <w:rsid w:val="00A5134F"/>
    <w:rsid w:val="00A56CE4"/>
    <w:rsid w:val="00A64891"/>
    <w:rsid w:val="00A93CEA"/>
    <w:rsid w:val="00A97B2D"/>
    <w:rsid w:val="00B030E5"/>
    <w:rsid w:val="00B20916"/>
    <w:rsid w:val="00B45B48"/>
    <w:rsid w:val="00B9769C"/>
    <w:rsid w:val="00BC3F00"/>
    <w:rsid w:val="00C078CD"/>
    <w:rsid w:val="00C36456"/>
    <w:rsid w:val="00C404AC"/>
    <w:rsid w:val="00C53F72"/>
    <w:rsid w:val="00C57BD7"/>
    <w:rsid w:val="00C84914"/>
    <w:rsid w:val="00CE3357"/>
    <w:rsid w:val="00D73FC3"/>
    <w:rsid w:val="00D80237"/>
    <w:rsid w:val="00DE310A"/>
    <w:rsid w:val="00E048C4"/>
    <w:rsid w:val="00E43E2E"/>
    <w:rsid w:val="00E75F54"/>
    <w:rsid w:val="00E828F0"/>
    <w:rsid w:val="00EC53F4"/>
    <w:rsid w:val="00EC5CB2"/>
    <w:rsid w:val="00ED41DA"/>
    <w:rsid w:val="00ED5509"/>
    <w:rsid w:val="00F025E9"/>
    <w:rsid w:val="00F03F26"/>
    <w:rsid w:val="00F33CF6"/>
    <w:rsid w:val="00F34ECB"/>
    <w:rsid w:val="00F35B6E"/>
    <w:rsid w:val="00F75DB5"/>
    <w:rsid w:val="00FB3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10FB66"/>
  <w15:chartTrackingRefBased/>
  <w15:docId w15:val="{CBEE088A-5735-40DB-8213-22B4D37B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513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6513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6513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6513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6513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6513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6513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6513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6513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6513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6513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6513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6513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6513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6513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6513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6513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6513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651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651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51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651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5131"/>
    <w:pPr>
      <w:spacing w:before="160" w:after="160"/>
      <w:jc w:val="center"/>
    </w:pPr>
    <w:rPr>
      <w:i/>
      <w:iCs/>
      <w:color w:val="404040" w:themeColor="text1" w:themeTint="BF"/>
    </w:rPr>
  </w:style>
  <w:style w:type="character" w:customStyle="1" w:styleId="a8">
    <w:name w:val="引用文 (文字)"/>
    <w:basedOn w:val="a0"/>
    <w:link w:val="a7"/>
    <w:uiPriority w:val="29"/>
    <w:rsid w:val="00265131"/>
    <w:rPr>
      <w:i/>
      <w:iCs/>
      <w:color w:val="404040" w:themeColor="text1" w:themeTint="BF"/>
    </w:rPr>
  </w:style>
  <w:style w:type="paragraph" w:styleId="a9">
    <w:name w:val="List Paragraph"/>
    <w:basedOn w:val="a"/>
    <w:uiPriority w:val="34"/>
    <w:qFormat/>
    <w:rsid w:val="00265131"/>
    <w:pPr>
      <w:ind w:left="720"/>
      <w:contextualSpacing/>
    </w:pPr>
  </w:style>
  <w:style w:type="character" w:styleId="21">
    <w:name w:val="Intense Emphasis"/>
    <w:basedOn w:val="a0"/>
    <w:uiPriority w:val="21"/>
    <w:qFormat/>
    <w:rsid w:val="00265131"/>
    <w:rPr>
      <w:i/>
      <w:iCs/>
      <w:color w:val="0F4761" w:themeColor="accent1" w:themeShade="BF"/>
    </w:rPr>
  </w:style>
  <w:style w:type="paragraph" w:styleId="22">
    <w:name w:val="Intense Quote"/>
    <w:basedOn w:val="a"/>
    <w:next w:val="a"/>
    <w:link w:val="23"/>
    <w:uiPriority w:val="30"/>
    <w:qFormat/>
    <w:rsid w:val="00265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65131"/>
    <w:rPr>
      <w:i/>
      <w:iCs/>
      <w:color w:val="0F4761" w:themeColor="accent1" w:themeShade="BF"/>
    </w:rPr>
  </w:style>
  <w:style w:type="character" w:styleId="24">
    <w:name w:val="Intense Reference"/>
    <w:basedOn w:val="a0"/>
    <w:uiPriority w:val="32"/>
    <w:qFormat/>
    <w:rsid w:val="00265131"/>
    <w:rPr>
      <w:b/>
      <w:bCs/>
      <w:smallCaps/>
      <w:color w:val="0F4761" w:themeColor="accent1" w:themeShade="BF"/>
      <w:spacing w:val="5"/>
    </w:rPr>
  </w:style>
  <w:style w:type="character" w:styleId="aa">
    <w:name w:val="Hyperlink"/>
    <w:basedOn w:val="a0"/>
    <w:uiPriority w:val="99"/>
    <w:unhideWhenUsed/>
    <w:rsid w:val="008B4823"/>
    <w:rPr>
      <w:color w:val="467886" w:themeColor="hyperlink"/>
      <w:u w:val="single"/>
    </w:rPr>
  </w:style>
  <w:style w:type="character" w:styleId="ab">
    <w:name w:val="Unresolved Mention"/>
    <w:basedOn w:val="a0"/>
    <w:uiPriority w:val="99"/>
    <w:semiHidden/>
    <w:unhideWhenUsed/>
    <w:rsid w:val="008B4823"/>
    <w:rPr>
      <w:color w:val="605E5C"/>
      <w:shd w:val="clear" w:color="auto" w:fill="E1DFDD"/>
    </w:rPr>
  </w:style>
  <w:style w:type="character" w:styleId="ac">
    <w:name w:val="FollowedHyperlink"/>
    <w:basedOn w:val="a0"/>
    <w:uiPriority w:val="99"/>
    <w:semiHidden/>
    <w:unhideWhenUsed/>
    <w:rsid w:val="005A0A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262684">
      <w:bodyDiv w:val="1"/>
      <w:marLeft w:val="0"/>
      <w:marRight w:val="0"/>
      <w:marTop w:val="0"/>
      <w:marBottom w:val="0"/>
      <w:divBdr>
        <w:top w:val="none" w:sz="0" w:space="0" w:color="auto"/>
        <w:left w:val="none" w:sz="0" w:space="0" w:color="auto"/>
        <w:bottom w:val="none" w:sz="0" w:space="0" w:color="auto"/>
        <w:right w:val="none" w:sz="0" w:space="0" w:color="auto"/>
      </w:divBdr>
    </w:div>
    <w:div w:id="1360397629">
      <w:bodyDiv w:val="1"/>
      <w:marLeft w:val="0"/>
      <w:marRight w:val="0"/>
      <w:marTop w:val="0"/>
      <w:marBottom w:val="0"/>
      <w:divBdr>
        <w:top w:val="none" w:sz="0" w:space="0" w:color="auto"/>
        <w:left w:val="none" w:sz="0" w:space="0" w:color="auto"/>
        <w:bottom w:val="none" w:sz="0" w:space="0" w:color="auto"/>
        <w:right w:val="none" w:sz="0" w:space="0" w:color="auto"/>
      </w:divBdr>
    </w:div>
    <w:div w:id="1543516047">
      <w:bodyDiv w:val="1"/>
      <w:marLeft w:val="0"/>
      <w:marRight w:val="0"/>
      <w:marTop w:val="0"/>
      <w:marBottom w:val="0"/>
      <w:divBdr>
        <w:top w:val="none" w:sz="0" w:space="0" w:color="auto"/>
        <w:left w:val="none" w:sz="0" w:space="0" w:color="auto"/>
        <w:bottom w:val="none" w:sz="0" w:space="0" w:color="auto"/>
        <w:right w:val="none" w:sz="0" w:space="0" w:color="auto"/>
      </w:divBdr>
    </w:div>
    <w:div w:id="20809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sui.com/jp/ja/company/outline/dx_comprehensive/index.html" TargetMode="External"/><Relationship Id="rId3" Type="http://schemas.openxmlformats.org/officeDocument/2006/relationships/webSettings" Target="webSettings.xml"/><Relationship Id="rId7" Type="http://schemas.openxmlformats.org/officeDocument/2006/relationships/hyperlink" Target="https://www.mitsui.com/jp/ja/company/outline/dx_comprehensive/pdf/dxactivities_jp.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mitsui.com/jp/ja/ir/meeting/investorday/2020/pdf/investorday2020_dx_ja.pdf" TargetMode="External"/><Relationship Id="rId4" Type="http://schemas.openxmlformats.org/officeDocument/2006/relationships/image" Target="media/image1.png"/><Relationship Id="rId9" Type="http://schemas.openxmlformats.org/officeDocument/2006/relationships/hyperlink" Target="https://www.cio.com/article/3543352/%E4%B8%89%E4%BA%95%E7%89%A9%E7%94%A3%E3%81%AEdx%E6%88%A6%E7%95%A5%E3%82%92%E9%80%B2%E3%82%81%E3%82%8B%E3%83%87%E3%82%B8%E3%82%BF%E3%83%AB%E7%B7%8F%E5%90%88%E6%88%A6%E7%95%A5%E9%83%A8%E3%81%AE%E5%85%A8.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88</cp:revision>
  <dcterms:created xsi:type="dcterms:W3CDTF">2025-05-24T13:18:00Z</dcterms:created>
  <dcterms:modified xsi:type="dcterms:W3CDTF">2025-05-25T07:48:00Z</dcterms:modified>
</cp:coreProperties>
</file>