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40254B"/>
          <w:sz w:val="58"/>
        </w:rPr>
        <w:t>SIMULATED OUTLINE REVIEW</w:t>
      </w:r>
    </w:p>
    <w:p>
      <w:pPr>
        <w:jc w:val="center"/>
      </w:pPr>
      <w:r>
        <w:rPr>
          <w:rFonts w:ascii="Aptos Display" w:hAnsi="Aptos Display"/>
          <w:b/>
          <w:color w:val="5A3568"/>
          <w:sz w:val="44"/>
        </w:rPr>
        <w:t>Mia's Puberty Primer</w:t>
      </w:r>
    </w:p>
    <w:p>
      <w:pPr>
        <w:jc w:val="center"/>
      </w:pPr>
      <w:r>
        <w:rPr>
          <w:rFonts w:ascii="Aptos Display" w:hAnsi="Aptos Display"/>
          <w:i/>
          <w:color w:val="2F2F2F"/>
          <w:sz w:val="36"/>
        </w:rPr>
        <w:t>Season 1: Operation Sisterwatch</w:t>
      </w:r>
    </w:p>
    <w:p/>
    <w:tbl>
      <w:tblPr>
        <w:tblW w:type="auto" w:w="0"/>
        <w:jc w:val="center"/>
        <w:tblLayout w:type="autofit"/>
        <w:tblLook w:firstColumn="1" w:firstRow="1" w:lastColumn="0" w:lastRow="0" w:noHBand="0" w:noVBand="1" w:val="04A0"/>
      </w:tblPr>
      <w:tblGrid>
        <w:gridCol w:w="9936"/>
      </w:tblGrid>
      <w:tr>
        <w:tc>
          <w:tcPr>
            <w:tcW w:type="dxa" w:w="9936"/>
            <w:shd w:fill="F1F6F3"/>
            <w:tcMar>
              <w:top w:w="110" w:type="dxa"/>
              <w:start w:w="140" w:type="dxa"/>
              <w:bottom w:w="110" w:type="dxa"/>
              <w:end w:w="140" w:type="dxa"/>
            </w:tcMar>
            <w:tcBorders>
              <w:top w:val="single" w:sz="6" w:color="2F6B4F"/>
              <w:left w:val="single" w:sz="6" w:color="2F6B4F"/>
              <w:bottom w:val="single" w:sz="6" w:color="2F6B4F"/>
              <w:right w:val="single" w:sz="6" w:color="2F6B4F"/>
            </w:tcBorders>
          </w:tcPr>
          <w:p>
            <w:pPr>
              <w:spacing w:after="0"/>
            </w:pPr>
            <w:r>
              <w:rPr>
                <w:b/>
                <w:color w:val="40254B"/>
              </w:rPr>
              <w:t>OVERALL VERDICT:</w:t>
            </w:r>
            <w:r>
              <w:rPr>
                <w:color w:val="2F2F2F"/>
              </w:rPr>
              <w:t xml:space="preserve"> READY FOR HUMAN OUTLINE REVIEW</w:t>
            </w:r>
          </w:p>
        </w:tc>
      </w:tr>
    </w:tbl>
    <w:p/>
    <w:p>
      <w:pPr>
        <w:jc w:val="center"/>
      </w:pPr>
      <w:r>
        <w:rPr>
          <w:color w:val="666666"/>
          <w:sz w:val="21"/>
        </w:rPr>
        <w:t>Five-Lens Panel: Story Architecture • Caregiver/Buyer Trust • Dignity/Specificity • Health Claim Extraction • Educator/Librarian</w:t>
      </w:r>
    </w:p>
    <w:p/>
    <w:p>
      <w:pPr>
        <w:jc w:val="center"/>
      </w:pPr>
      <w:r>
        <w:rPr>
          <w:color w:val="666666"/>
          <w:sz w:val="17"/>
        </w:rPr>
        <w:t>Basis: Outline Review Team — Hybrid Kit + Season 1 Level 1 Flow Grid (approved architecture)</w:t>
      </w:r>
    </w:p>
    <w:p>
      <w:pPr>
        <w:jc w:val="center"/>
      </w:pPr>
      <w:r>
        <w:rPr>
          <w:color w:val="666666"/>
          <w:sz w:val="17"/>
        </w:rPr>
        <w:t>Prepared August 2026 • Outline-stage diagnostic only</w:t>
      </w:r>
    </w:p>
    <w:p>
      <w:r>
        <w:br w:type="page"/>
      </w:r>
    </w:p>
    <w:p>
      <w:pPr>
        <w:pStyle w:val="Heading1"/>
      </w:pPr>
      <w:r>
        <w:t>Document Purpose &amp; Scope</w:t>
      </w:r>
    </w:p>
    <w:p>
      <w:r>
        <w:t>This report packages the simulated outline review of Mia's Puberty Primer — Season 1: Operation Sisterwatch. It applies the five analytical lenses defined in the project's Hybrid Review Kit to the approved Season 1 Level 1 Flow Grid.</w:t>
      </w:r>
    </w:p>
    <w:tbl>
      <w:tblPr>
        <w:tblW w:type="auto" w:w="0"/>
        <w:jc w:val="center"/>
        <w:tblLayout w:type="autofit"/>
        <w:tblLook w:firstColumn="1" w:firstRow="1" w:lastColumn="0" w:lastRow="0" w:noHBand="0" w:noVBand="1" w:val="04A0"/>
      </w:tblPr>
      <w:tblGrid>
        <w:gridCol w:w="9936"/>
      </w:tblGrid>
      <w:tr>
        <w:tc>
          <w:tcPr>
            <w:tcW w:type="dxa" w:w="9936"/>
            <w:shd w:fill="FFF9EE"/>
            <w:tcMar>
              <w:top w:w="110" w:type="dxa"/>
              <w:start w:w="140" w:type="dxa"/>
              <w:bottom w:w="110" w:type="dxa"/>
              <w:end w:w="140" w:type="dxa"/>
            </w:tcMar>
            <w:tcBorders>
              <w:top w:val="single" w:sz="6" w:color="C5A15A"/>
              <w:left w:val="single" w:sz="6" w:color="C5A15A"/>
              <w:bottom w:val="single" w:sz="6" w:color="C5A15A"/>
              <w:right w:val="single" w:sz="6" w:color="C5A15A"/>
            </w:tcBorders>
          </w:tcPr>
          <w:p>
            <w:pPr>
              <w:spacing w:after="0"/>
            </w:pPr>
            <w:r>
              <w:rPr>
                <w:b/>
                <w:color w:val="40254B"/>
              </w:rPr>
              <w:t>Scope guardrail:</w:t>
            </w:r>
            <w:r>
              <w:rPr>
                <w:color w:val="2F2F2F"/>
              </w:rPr>
              <w:t xml:space="preserve"> This is an outline diagnostic. It does not claim lived-experience authority, certify cultural authenticity, approve medical accuracy, or predict the response of every parent, Black girl, school, library, or clinician.</w:t>
            </w:r>
          </w:p>
        </w:tc>
      </w:tr>
    </w:tbl>
    <w:p>
      <w:pPr>
        <w:pStyle w:val="Heading2"/>
      </w:pPr>
      <w:r>
        <w:t>Review Lenses</w:t>
      </w:r>
    </w:p>
    <w:p>
      <w:pPr>
        <w:pStyle w:val="ListBullet"/>
        <w:spacing w:after="60"/>
      </w:pPr>
      <w:r>
        <w:t>Story Architecture — cumulative story, causality, agency, escalation, and finale payoff.</w:t>
      </w:r>
    </w:p>
    <w:p>
      <w:pPr>
        <w:pStyle w:val="ListBullet"/>
        <w:spacing w:after="60"/>
      </w:pPr>
      <w:r>
        <w:t>Caregiver / Buyer Trust — reasons to buy/share, shame or scare risk, and handling of the first-period ending.</w:t>
      </w:r>
    </w:p>
    <w:p>
      <w:pPr>
        <w:pStyle w:val="ListBullet"/>
        <w:spacing w:after="60"/>
      </w:pPr>
      <w:r>
        <w:t>Dignity / Specificity — character fullness, privacy, representation patterns, and where lived-experience validation is still needed.</w:t>
      </w:r>
    </w:p>
    <w:p>
      <w:pPr>
        <w:pStyle w:val="ListBullet"/>
        <w:spacing w:after="60"/>
      </w:pPr>
      <w:r>
        <w:t>Health Claim Extraction — identification of claims that need clinician verification; not medical approval.</w:t>
      </w:r>
    </w:p>
    <w:p>
      <w:pPr>
        <w:pStyle w:val="ListBullet"/>
        <w:spacing w:after="60"/>
      </w:pPr>
      <w:r>
        <w:t>Educator / Librarian — age-fit, school realism, recommendability, and possible classroom-use concerns.</w:t>
      </w:r>
    </w:p>
    <w:p>
      <w:pPr>
        <w:pStyle w:val="Heading2"/>
      </w:pPr>
      <w:r>
        <w:t>Contents</w:t>
      </w:r>
    </w:p>
    <w:p>
      <w:pPr>
        <w:pStyle w:val="ListBullet"/>
        <w:spacing w:after="60"/>
      </w:pPr>
      <w:r>
        <w:t>1. Executive Read</w:t>
      </w:r>
    </w:p>
    <w:p>
      <w:pPr>
        <w:pStyle w:val="ListBullet"/>
        <w:spacing w:after="60"/>
      </w:pPr>
      <w:r>
        <w:t>2. Keep / Change / Human-Test</w:t>
      </w:r>
    </w:p>
    <w:p>
      <w:pPr>
        <w:pStyle w:val="ListBullet"/>
        <w:spacing w:after="60"/>
      </w:pPr>
      <w:r>
        <w:t>3. Story Architecture</w:t>
      </w:r>
    </w:p>
    <w:p>
      <w:pPr>
        <w:pStyle w:val="ListBullet"/>
        <w:spacing w:after="60"/>
      </w:pPr>
      <w:r>
        <w:t>4. Caregiver / Buyer Trust</w:t>
      </w:r>
    </w:p>
    <w:p>
      <w:pPr>
        <w:pStyle w:val="ListBullet"/>
        <w:spacing w:after="60"/>
      </w:pPr>
      <w:r>
        <w:t>5. Dignity / Specificity Pattern Screen</w:t>
      </w:r>
    </w:p>
    <w:p>
      <w:pPr>
        <w:pStyle w:val="ListBullet"/>
        <w:spacing w:after="60"/>
      </w:pPr>
      <w:r>
        <w:t>6. Health Claim Extraction</w:t>
      </w:r>
    </w:p>
    <w:p>
      <w:pPr>
        <w:pStyle w:val="ListBullet"/>
        <w:spacing w:after="60"/>
      </w:pPr>
      <w:r>
        <w:t>7. Educator / Librarian</w:t>
      </w:r>
    </w:p>
    <w:p>
      <w:pPr>
        <w:pStyle w:val="ListBullet"/>
        <w:spacing w:after="60"/>
      </w:pPr>
      <w:r>
        <w:t>8. Story-vs-Lesson Test</w:t>
      </w:r>
    </w:p>
    <w:p>
      <w:pPr>
        <w:pStyle w:val="ListBullet"/>
        <w:spacing w:after="60"/>
      </w:pPr>
      <w:r>
        <w:t>9. Age 9–11 Check</w:t>
      </w:r>
    </w:p>
    <w:p>
      <w:pPr>
        <w:pStyle w:val="ListBullet"/>
        <w:spacing w:after="60"/>
      </w:pPr>
      <w:r>
        <w:t>10. Representation Questions for Human Review</w:t>
      </w:r>
    </w:p>
    <w:p>
      <w:pPr>
        <w:pStyle w:val="ListBullet"/>
        <w:spacing w:after="60"/>
      </w:pPr>
      <w:r>
        <w:t>11. Prioritized Revision / Validation Plan</w:t>
      </w:r>
    </w:p>
    <w:p>
      <w:pPr>
        <w:pStyle w:val="ListBullet"/>
        <w:spacing w:after="60"/>
      </w:pPr>
      <w:r>
        <w:t>12. Disagreement Map</w:t>
      </w:r>
    </w:p>
    <w:p>
      <w:pPr>
        <w:pStyle w:val="ListBullet"/>
        <w:spacing w:after="60"/>
      </w:pPr>
      <w:r>
        <w:t>13. Scorecard &amp; Final Verdict</w:t>
      </w:r>
    </w:p>
    <w:p>
      <w:pPr>
        <w:pStyle w:val="Heading1"/>
      </w:pPr>
      <w:r>
        <w:t>1. Executive Read</w:t>
      </w:r>
    </w:p>
    <w:tbl>
      <w:tblPr>
        <w:tblW w:type="auto" w:w="0"/>
        <w:jc w:val="center"/>
        <w:tblLayout w:type="autofit"/>
        <w:tblLook w:firstColumn="1" w:firstRow="1" w:lastColumn="0" w:lastRow="0" w:noHBand="0" w:noVBand="1" w:val="04A0"/>
      </w:tblPr>
      <w:tblGrid>
        <w:gridCol w:w="9936"/>
      </w:tblGrid>
      <w:tr>
        <w:tc>
          <w:tcPr>
            <w:tcW w:type="dxa" w:w="9936"/>
            <w:shd w:fill="F1F6F3"/>
            <w:tcMar>
              <w:top w:w="110" w:type="dxa"/>
              <w:start w:w="140" w:type="dxa"/>
              <w:bottom w:w="110" w:type="dxa"/>
              <w:end w:w="140" w:type="dxa"/>
            </w:tcMar>
            <w:tcBorders>
              <w:top w:val="single" w:sz="6" w:color="2F6B4F"/>
              <w:left w:val="single" w:sz="6" w:color="2F6B4F"/>
              <w:bottom w:val="single" w:sz="6" w:color="2F6B4F"/>
              <w:right w:val="single" w:sz="6" w:color="2F6B4F"/>
            </w:tcBorders>
          </w:tcPr>
          <w:p>
            <w:pPr>
              <w:spacing w:after="0"/>
            </w:pPr>
            <w:r>
              <w:rPr>
                <w:b/>
                <w:color w:val="40254B"/>
              </w:rPr>
              <w:t>OVERALL VERDICT:</w:t>
            </w:r>
            <w:r>
              <w:rPr>
                <w:color w:val="2F2F2F"/>
              </w:rPr>
              <w:t xml:space="preserve"> READY FOR HUMAN OUTLINE REVIEW</w:t>
            </w:r>
          </w:p>
        </w:tc>
      </w:tr>
    </w:tbl>
    <w:p>
      <w:r>
        <w:t>This season reads as a genuine cumulative coming-of-age story rather than eleven puberty lessons with a character attached. Mia begins with the belief that knowledge equals control: if she can solve Solani, she can prevent puberty from surprising her. The midpoint complicates that belief by teaching her that preparation does not entitle her to another person's privacy. The finale tests the same conflict when Mia's own first period begins and she must use support without pretending she can control the experience.</w:t>
      </w:r>
    </w:p>
    <w:p>
      <w:r>
        <w:t>The strongest architectural achievement is the boundaries → menstruation → preparation → first-period chain. Episode 5 changes Mia's behavior in Episode 8; Episode 8 creates Episode 9's need for preparation; Episode 9 plants the kit that becomes functional in Episode 11.</w:t>
      </w:r>
    </w:p>
    <w:p>
      <w:r>
        <w:t>The primary risk is execution rather than architecture. Several middle episodes naturally include knowledgeable adults. If the detailed packets repeatedly become 'Mia does something silly → adult explains the fact → Mia learns the lesson,' the season could begin to feel instructional. The approved Flow Grid already contains the correct safeguard: adults can provide context, but Mia must remain the person making the consequential choice.</w:t>
      </w:r>
    </w:p>
    <w:p>
      <w:r>
        <w:rPr>
          <w:b/>
          <w:color w:val="40254B"/>
        </w:rPr>
        <w:t xml:space="preserve">Recommendation: </w:t>
      </w:r>
      <w:r>
        <w:t>Do not reopen the locked Season 1 spine based on this simulation. Move the architecture into human outline review and use the detailed Book Factory stage to protect agency, rhythm, dignity, and cultural particularity.</w:t>
      </w:r>
    </w:p>
    <w:p>
      <w:pPr>
        <w:pStyle w:val="Heading1"/>
      </w:pPr>
      <w:r>
        <w:t>2. Keep / Change / Human-Test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5A3568"/>
            <w:vAlign w:val="center"/>
            <w:tcMar>
              <w:top w:w="80" w:type="dxa"/>
              <w:start w:w="90" w:type="dxa"/>
              <w:bottom w:w="80" w:type="dxa"/>
              <w:end w:w="90" w:type="dxa"/>
            </w:tcMar>
          </w:tcPr>
          <w:p>
            <w:r>
              <w:rPr>
                <w:b/>
                <w:color w:val="FFFFFF"/>
                <w:sz w:val="19"/>
              </w:rPr>
              <w:t>KEEP</w:t>
            </w:r>
          </w:p>
        </w:tc>
        <w:tc>
          <w:tcPr>
            <w:tcW w:type="dxa" w:w="3312"/>
            <w:shd w:fill="5A3568"/>
            <w:vAlign w:val="center"/>
            <w:tcMar>
              <w:top w:w="80" w:type="dxa"/>
              <w:start w:w="90" w:type="dxa"/>
              <w:bottom w:w="80" w:type="dxa"/>
              <w:end w:w="90" w:type="dxa"/>
            </w:tcMar>
          </w:tcPr>
          <w:p>
            <w:r>
              <w:rPr>
                <w:b/>
                <w:color w:val="FFFFFF"/>
                <w:sz w:val="19"/>
              </w:rPr>
              <w:t>CHANGE / GUARD AGAINST</w:t>
            </w:r>
          </w:p>
        </w:tc>
        <w:tc>
          <w:tcPr>
            <w:tcW w:type="dxa" w:w="3312"/>
            <w:shd w:fill="5A3568"/>
            <w:vAlign w:val="center"/>
            <w:tcMar>
              <w:top w:w="80" w:type="dxa"/>
              <w:start w:w="90" w:type="dxa"/>
              <w:bottom w:w="80" w:type="dxa"/>
              <w:end w:w="90" w:type="dxa"/>
            </w:tcMar>
          </w:tcPr>
          <w:p>
            <w:r>
              <w:rPr>
                <w:b/>
                <w:color w:val="FFFFFF"/>
                <w:sz w:val="19"/>
              </w:rPr>
              <w:t>HUMAN-TEST</w:t>
            </w:r>
          </w:p>
        </w:tc>
      </w:tr>
      <w:tr>
        <w:tc>
          <w:tcPr>
            <w:tcW w:type="dxa" w:w="3312"/>
            <w:tcMar>
              <w:top w:w="80" w:type="dxa"/>
              <w:start w:w="90" w:type="dxa"/>
              <w:bottom w:w="80" w:type="dxa"/>
              <w:end w:w="90" w:type="dxa"/>
            </w:tcMar>
            <w:vAlign w:val="top"/>
          </w:tcPr>
          <w:p>
            <w:pPr>
              <w:spacing w:after="20"/>
            </w:pPr>
            <w:r>
              <w:rPr>
                <w:sz w:val="17"/>
              </w:rPr>
              <w:t>Mia's control vs. uncertainty emotional spine</w:t>
            </w:r>
          </w:p>
        </w:tc>
        <w:tc>
          <w:tcPr>
            <w:tcW w:type="dxa" w:w="3312"/>
            <w:tcMar>
              <w:top w:w="80" w:type="dxa"/>
              <w:start w:w="90" w:type="dxa"/>
              <w:bottom w:w="80" w:type="dxa"/>
              <w:end w:w="90" w:type="dxa"/>
            </w:tcMar>
            <w:vAlign w:val="top"/>
          </w:tcPr>
          <w:p>
            <w:pPr>
              <w:spacing w:after="20"/>
            </w:pPr>
            <w:r>
              <w:rPr>
                <w:sz w:val="17"/>
              </w:rPr>
              <w:t>Do not let adult truth-givers resolve Mia's emotional problem</w:t>
            </w:r>
          </w:p>
        </w:tc>
        <w:tc>
          <w:tcPr>
            <w:tcW w:type="dxa" w:w="3312"/>
            <w:tcMar>
              <w:top w:w="80" w:type="dxa"/>
              <w:start w:w="90" w:type="dxa"/>
              <w:bottom w:w="80" w:type="dxa"/>
              <w:end w:w="90" w:type="dxa"/>
            </w:tcMar>
            <w:vAlign w:val="top"/>
          </w:tcPr>
          <w:p>
            <w:pPr>
              <w:spacing w:after="20"/>
            </w:pPr>
            <w:r>
              <w:rPr>
                <w:sz w:val="17"/>
              </w:rPr>
              <w:t>Does a caregiver trust the first-period handling?</w:t>
            </w:r>
          </w:p>
        </w:tc>
      </w:tr>
      <w:tr>
        <w:tc>
          <w:tcPr>
            <w:tcW w:type="dxa" w:w="3312"/>
            <w:tcMar>
              <w:top w:w="80" w:type="dxa"/>
              <w:start w:w="90" w:type="dxa"/>
              <w:bottom w:w="80" w:type="dxa"/>
              <w:end w:w="90" w:type="dxa"/>
            </w:tcMar>
            <w:vAlign w:val="top"/>
          </w:tcPr>
          <w:p>
            <w:pPr>
              <w:spacing w:after="20"/>
            </w:pPr>
            <w:r>
              <w:rPr>
                <w:sz w:val="17"/>
              </w:rPr>
              <w:t>Episode 5 → Episode 8 boundary payoff</w:t>
            </w:r>
          </w:p>
        </w:tc>
        <w:tc>
          <w:tcPr>
            <w:tcW w:type="dxa" w:w="3312"/>
            <w:tcMar>
              <w:top w:w="80" w:type="dxa"/>
              <w:start w:w="90" w:type="dxa"/>
              <w:bottom w:w="80" w:type="dxa"/>
              <w:end w:w="90" w:type="dxa"/>
            </w:tcMar>
            <w:vAlign w:val="top"/>
          </w:tcPr>
          <w:p>
            <w:pPr>
              <w:spacing w:after="20"/>
            </w:pPr>
            <w:r>
              <w:rPr>
                <w:sz w:val="17"/>
              </w:rPr>
              <w:t>Preserve enough Operation Sisterwatch energy through the middle</w:t>
            </w:r>
          </w:p>
        </w:tc>
        <w:tc>
          <w:tcPr>
            <w:tcW w:type="dxa" w:w="3312"/>
            <w:tcMar>
              <w:top w:w="80" w:type="dxa"/>
              <w:start w:w="90" w:type="dxa"/>
              <w:bottom w:w="80" w:type="dxa"/>
              <w:end w:w="90" w:type="dxa"/>
            </w:tcMar>
            <w:vAlign w:val="top"/>
          </w:tcPr>
          <w:p>
            <w:pPr>
              <w:spacing w:after="20"/>
            </w:pPr>
            <w:r>
              <w:rPr>
                <w:sz w:val="17"/>
              </w:rPr>
              <w:t>Does the Black-girl-centered world feel lived-in rather than merely labeled?</w:t>
            </w:r>
          </w:p>
        </w:tc>
      </w:tr>
      <w:tr>
        <w:tc>
          <w:tcPr>
            <w:tcW w:type="dxa" w:w="3312"/>
            <w:tcMar>
              <w:top w:w="80" w:type="dxa"/>
              <w:start w:w="90" w:type="dxa"/>
              <w:bottom w:w="80" w:type="dxa"/>
              <w:end w:w="90" w:type="dxa"/>
            </w:tcMar>
            <w:vAlign w:val="top"/>
          </w:tcPr>
          <w:p>
            <w:pPr>
              <w:spacing w:after="20"/>
            </w:pPr>
            <w:r>
              <w:rPr>
                <w:sz w:val="17"/>
              </w:rPr>
              <w:t>Episodes 8 → 9 → 11 period arc</w:t>
            </w:r>
          </w:p>
        </w:tc>
        <w:tc>
          <w:tcPr>
            <w:tcW w:type="dxa" w:w="3312"/>
            <w:tcMar>
              <w:top w:w="80" w:type="dxa"/>
              <w:start w:w="90" w:type="dxa"/>
              <w:bottom w:w="80" w:type="dxa"/>
              <w:end w:w="90" w:type="dxa"/>
            </w:tcMar>
            <w:vAlign w:val="top"/>
          </w:tcPr>
          <w:p>
            <w:pPr>
              <w:spacing w:after="20"/>
            </w:pPr>
            <w:r>
              <w:rPr>
                <w:sz w:val="17"/>
              </w:rPr>
              <w:t>Differentiate episode rhythms during detailed plotting</w:t>
            </w:r>
          </w:p>
        </w:tc>
        <w:tc>
          <w:tcPr>
            <w:tcW w:type="dxa" w:w="3312"/>
            <w:tcMar>
              <w:top w:w="80" w:type="dxa"/>
              <w:start w:w="90" w:type="dxa"/>
              <w:bottom w:w="80" w:type="dxa"/>
              <w:end w:w="90" w:type="dxa"/>
            </w:tcMar>
            <w:vAlign w:val="top"/>
          </w:tcPr>
          <w:p>
            <w:pPr>
              <w:spacing w:after="20"/>
            </w:pPr>
            <w:r>
              <w:rPr>
                <w:sz w:val="17"/>
              </w:rPr>
              <w:t>Are health claims accurate and sufficiently qualified?</w:t>
            </w:r>
          </w:p>
        </w:tc>
      </w:tr>
      <w:tr>
        <w:tc>
          <w:tcPr>
            <w:tcW w:type="dxa" w:w="3312"/>
            <w:tcMar>
              <w:top w:w="80" w:type="dxa"/>
              <w:start w:w="90" w:type="dxa"/>
              <w:bottom w:w="80" w:type="dxa"/>
              <w:end w:w="90" w:type="dxa"/>
            </w:tcMar>
            <w:vAlign w:val="top"/>
          </w:tcPr>
          <w:p>
            <w:pPr>
              <w:spacing w:after="20"/>
            </w:pPr>
            <w:r>
              <w:rPr>
                <w:sz w:val="17"/>
              </w:rPr>
              <w:t>Solani controlling her privacy</w:t>
            </w:r>
          </w:p>
        </w:tc>
        <w:tc>
          <w:tcPr>
            <w:tcW w:type="dxa" w:w="3312"/>
            <w:tcMar>
              <w:top w:w="80" w:type="dxa"/>
              <w:start w:w="90" w:type="dxa"/>
              <w:bottom w:w="80" w:type="dxa"/>
              <w:end w:w="90" w:type="dxa"/>
            </w:tcMar>
            <w:vAlign w:val="top"/>
          </w:tcPr>
          <w:p>
            <w:pPr>
              <w:spacing w:after="20"/>
            </w:pPr>
            <w:r>
              <w:rPr>
                <w:sz w:val="17"/>
              </w:rPr>
              <w:t>Do not turn Solani into Mia's junior puberty instructor</w:t>
            </w:r>
          </w:p>
        </w:tc>
        <w:tc>
          <w:tcPr>
            <w:tcW w:type="dxa" w:w="3312"/>
            <w:tcMar>
              <w:top w:w="80" w:type="dxa"/>
              <w:start w:w="90" w:type="dxa"/>
              <w:bottom w:w="80" w:type="dxa"/>
              <w:end w:w="90" w:type="dxa"/>
            </w:tcMar>
            <w:vAlign w:val="top"/>
          </w:tcPr>
          <w:p>
            <w:pPr>
              <w:spacing w:after="20"/>
            </w:pPr>
            <w:r>
              <w:rPr>
                <w:sz w:val="17"/>
              </w:rPr>
              <w:t>Do real 9–11-year-olds find the Myth Machine funny rather than instructional?</w:t>
            </w:r>
          </w:p>
        </w:tc>
      </w:tr>
      <w:tr>
        <w:tc>
          <w:tcPr>
            <w:tcW w:type="dxa" w:w="3312"/>
            <w:tcMar>
              <w:top w:w="80" w:type="dxa"/>
              <w:start w:w="90" w:type="dxa"/>
              <w:bottom w:w="80" w:type="dxa"/>
              <w:end w:w="90" w:type="dxa"/>
            </w:tcMar>
            <w:vAlign w:val="top"/>
          </w:tcPr>
          <w:p>
            <w:pPr>
              <w:spacing w:after="20"/>
            </w:pPr>
            <w:r>
              <w:rPr>
                <w:sz w:val="17"/>
              </w:rPr>
              <w:t>Mia still being scared despite preparation</w:t>
            </w:r>
          </w:p>
        </w:tc>
        <w:tc>
          <w:tcPr>
            <w:tcW w:type="dxa" w:w="3312"/>
            <w:tcMar>
              <w:top w:w="80" w:type="dxa"/>
              <w:start w:w="90" w:type="dxa"/>
              <w:bottom w:w="80" w:type="dxa"/>
              <w:end w:w="90" w:type="dxa"/>
            </w:tcMar>
            <w:vAlign w:val="top"/>
          </w:tcPr>
          <w:p>
            <w:pPr>
              <w:spacing w:after="20"/>
            </w:pPr>
            <w:r>
              <w:rPr>
                <w:sz w:val="17"/>
              </w:rPr>
              <w:t>Do not make preparedness equal emotional perfection</w:t>
            </w:r>
          </w:p>
        </w:tc>
        <w:tc>
          <w:tcPr>
            <w:tcW w:type="dxa" w:w="3312"/>
            <w:tcMar>
              <w:top w:w="80" w:type="dxa"/>
              <w:start w:w="90" w:type="dxa"/>
              <w:bottom w:w="80" w:type="dxa"/>
              <w:end w:w="90" w:type="dxa"/>
            </w:tcMar>
            <w:vAlign w:val="top"/>
          </w:tcPr>
          <w:p>
            <w:pPr>
              <w:spacing w:after="20"/>
            </w:pPr>
            <w:r>
              <w:rPr>
                <w:sz w:val="17"/>
              </w:rPr>
              <w:t>Do school/library readers find the school situations plausible?</w:t>
            </w:r>
          </w:p>
        </w:tc>
      </w:tr>
      <w:tr>
        <w:tc>
          <w:tcPr>
            <w:tcW w:type="dxa" w:w="3312"/>
            <w:tcMar>
              <w:top w:w="80" w:type="dxa"/>
              <w:start w:w="90" w:type="dxa"/>
              <w:bottom w:w="80" w:type="dxa"/>
              <w:end w:w="90" w:type="dxa"/>
            </w:tcMar>
            <w:vAlign w:val="top"/>
          </w:tcPr>
          <w:p>
            <w:pPr>
              <w:spacing w:after="20"/>
            </w:pPr>
            <w:r>
              <w:rPr>
                <w:sz w:val="17"/>
              </w:rPr>
              <w:t>Kayla/Sophie continuity safeguards</w:t>
            </w:r>
          </w:p>
        </w:tc>
        <w:tc>
          <w:tcPr>
            <w:tcW w:type="dxa" w:w="3312"/>
            <w:tcMar>
              <w:top w:w="80" w:type="dxa"/>
              <w:start w:w="90" w:type="dxa"/>
              <w:bottom w:w="80" w:type="dxa"/>
              <w:end w:w="90" w:type="dxa"/>
            </w:tcMar>
            <w:vAlign w:val="top"/>
          </w:tcPr>
          <w:p>
            <w:pPr>
              <w:spacing w:after="20"/>
            </w:pPr>
            <w:r>
              <w:rPr>
                <w:sz w:val="17"/>
              </w:rPr>
              <w:t>Add cultural particularity through specific lived detail, not generic empowerment language</w:t>
            </w:r>
          </w:p>
        </w:tc>
        <w:tc>
          <w:tcPr>
            <w:tcW w:type="dxa" w:w="3312"/>
            <w:tcMar>
              <w:top w:w="80" w:type="dxa"/>
              <w:start w:w="90" w:type="dxa"/>
              <w:bottom w:w="80" w:type="dxa"/>
              <w:end w:w="90" w:type="dxa"/>
            </w:tcMar>
            <w:vAlign w:val="top"/>
          </w:tcPr>
          <w:p>
            <w:pPr>
              <w:spacing w:after="20"/>
            </w:pPr>
            <w:r>
              <w:rPr>
                <w:sz w:val="17"/>
              </w:rPr>
              <w:t>Is Episode 8's accidental clothing reveal dignified in execution?</w:t>
            </w:r>
          </w:p>
        </w:tc>
      </w:tr>
      <w:tr>
        <w:tc>
          <w:tcPr>
            <w:tcW w:type="dxa" w:w="3312"/>
            <w:tcMar>
              <w:top w:w="80" w:type="dxa"/>
              <w:start w:w="90" w:type="dxa"/>
              <w:bottom w:w="80" w:type="dxa"/>
              <w:end w:w="90" w:type="dxa"/>
            </w:tcMar>
            <w:vAlign w:val="top"/>
          </w:tcPr>
          <w:p>
            <w:pPr>
              <w:spacing w:after="20"/>
            </w:pPr>
            <w:r>
              <w:rPr>
                <w:sz w:val="17"/>
              </w:rPr>
              <w:t>Imperfect, silly Mia</w:t>
            </w:r>
          </w:p>
        </w:tc>
        <w:tc>
          <w:tcPr>
            <w:tcW w:type="dxa" w:w="3312"/>
            <w:tcMar>
              <w:top w:w="80" w:type="dxa"/>
              <w:start w:w="90" w:type="dxa"/>
              <w:bottom w:w="80" w:type="dxa"/>
              <w:end w:w="90" w:type="dxa"/>
            </w:tcMar>
            <w:vAlign w:val="top"/>
          </w:tcPr>
          <w:p>
            <w:pPr>
              <w:spacing w:after="20"/>
            </w:pPr>
            <w:r>
              <w:rPr>
                <w:sz w:val="17"/>
              </w:rPr>
              <w:t>Keep reader-transformation language out of lecture-like dialogue</w:t>
            </w:r>
          </w:p>
        </w:tc>
        <w:tc>
          <w:tcPr>
            <w:tcW w:type="dxa" w:w="3312"/>
            <w:tcMar>
              <w:top w:w="80" w:type="dxa"/>
              <w:start w:w="90" w:type="dxa"/>
              <w:bottom w:w="80" w:type="dxa"/>
              <w:end w:w="90" w:type="dxa"/>
            </w:tcMar>
            <w:vAlign w:val="top"/>
          </w:tcPr>
          <w:p>
            <w:pPr>
              <w:spacing w:after="20"/>
            </w:pPr>
            <w:r>
              <w:rPr>
                <w:sz w:val="17"/>
              </w:rPr>
              <w:t>Does Episode 11 reassure without over-explaining?</w:t>
            </w:r>
          </w:p>
        </w:tc>
      </w:tr>
    </w:tbl>
    <w:p/>
    <w:p>
      <w:pPr>
        <w:pStyle w:val="Heading1"/>
      </w:pPr>
      <w:r>
        <w:t>3. Lens One: Story Architecture</w:t>
      </w:r>
    </w:p>
    <w:tbl>
      <w:tblPr>
        <w:tblW w:type="auto" w:w="0"/>
        <w:jc w:val="center"/>
        <w:tblLayout w:type="autofit"/>
        <w:tblLook w:firstColumn="1" w:firstRow="1" w:lastColumn="0" w:lastRow="0" w:noHBand="0" w:noVBand="1" w:val="04A0"/>
      </w:tblPr>
      <w:tblGrid>
        <w:gridCol w:w="9936"/>
      </w:tblGrid>
      <w:tr>
        <w:tc>
          <w:tcPr>
            <w:tcW w:type="dxa" w:w="9936"/>
            <w:shd w:fill="F1F6F3"/>
            <w:tcMar>
              <w:top w:w="110" w:type="dxa"/>
              <w:start w:w="140" w:type="dxa"/>
              <w:bottom w:w="110" w:type="dxa"/>
              <w:end w:w="140" w:type="dxa"/>
            </w:tcMar>
            <w:tcBorders>
              <w:top w:val="single" w:sz="6" w:color="2F6B4F"/>
              <w:left w:val="single" w:sz="6" w:color="2F6B4F"/>
              <w:bottom w:val="single" w:sz="6" w:color="2F6B4F"/>
              <w:right w:val="single" w:sz="6" w:color="2F6B4F"/>
            </w:tcBorders>
          </w:tcPr>
          <w:p>
            <w:pPr>
              <w:spacing w:after="0"/>
            </w:pPr>
            <w:r>
              <w:rPr>
                <w:b/>
                <w:color w:val="40254B"/>
              </w:rPr>
              <w:t>VERDICT:</w:t>
            </w:r>
            <w:r>
              <w:rPr>
                <w:color w:val="2F2F2F"/>
              </w:rPr>
              <w:t xml:space="preserve"> GREEN, WITH ONE YELLOW EXECUTION WARNING</w:t>
            </w:r>
          </w:p>
        </w:tc>
      </w:tr>
    </w:tbl>
    <w:p>
      <w:pPr>
        <w:pStyle w:val="Heading2"/>
      </w:pPr>
      <w:r>
        <w:t>Cumulative story or topic checklist?</w:t>
      </w:r>
    </w:p>
    <w:p>
      <w:r>
        <w:t>The season is cumulative. Distinct subject matter appears in each episode, but consequences and learned behavior survive beyond the episode. Most importantly, Episode 5's boundary lesson changes Mia's choice in Episode 8; Episode 8 motivates Episode 9; and Episode 9 plants the object that matters in Episode 11.</w:t>
      </w:r>
    </w:p>
    <w:p>
      <w:r>
        <w:rPr>
          <w:b/>
          <w:color w:val="A87520"/>
        </w:rPr>
        <w:t xml:space="preserve">Risk — MEDIUM: </w:t>
      </w:r>
      <w:r>
        <w:t>Episodes 2–4 and 6 can still feel episodic if their detailed structure becomes too dependent on a knowledgeable adult entering near the solution.</w:t>
      </w:r>
    </w:p>
    <w:p>
      <w:pPr>
        <w:pStyle w:val="Heading2"/>
      </w:pPr>
      <w:r>
        <w:t>Is Episode 11 earned?</w:t>
      </w:r>
    </w:p>
    <w:p>
      <w:r>
        <w:t>Yes. The finale pays off multiple earlier investments:</w:t>
      </w:r>
    </w:p>
    <w:p>
      <w:pPr>
        <w:pStyle w:val="ListBullet"/>
        <w:spacing w:after="60"/>
      </w:pPr>
      <w:r>
        <w:t>Episode 2 establishes that Mia herself is developing.</w:t>
      </w:r>
    </w:p>
    <w:p>
      <w:pPr>
        <w:pStyle w:val="ListBullet"/>
        <w:spacing w:after="60"/>
      </w:pPr>
      <w:r>
        <w:t>Episode 3 gives her emotional language.</w:t>
      </w:r>
    </w:p>
    <w:p>
      <w:pPr>
        <w:pStyle w:val="ListBullet"/>
        <w:spacing w:after="60"/>
      </w:pPr>
      <w:r>
        <w:t>Episode 5 gives her a working understanding of privacy and boundaries.</w:t>
      </w:r>
    </w:p>
    <w:p>
      <w:pPr>
        <w:pStyle w:val="ListBullet"/>
        <w:spacing w:after="60"/>
      </w:pPr>
      <w:r>
        <w:t>Episode 8 gives her period knowledge while testing Solani's dignity.</w:t>
      </w:r>
    </w:p>
    <w:p>
      <w:pPr>
        <w:pStyle w:val="ListBullet"/>
        <w:spacing w:after="60"/>
      </w:pPr>
      <w:r>
        <w:t>Episode 9 puts a usable kit into her backpack.</w:t>
      </w:r>
    </w:p>
    <w:p>
      <w:pPr>
        <w:pStyle w:val="ListBullet"/>
        <w:spacing w:after="60"/>
      </w:pPr>
      <w:r>
        <w:t>Episode 11 proves that facts and preparation do not eliminate fear; they give Mia safer options.</w:t>
      </w:r>
    </w:p>
    <w:p>
      <w:pPr>
        <w:pStyle w:val="Heading2"/>
      </w:pPr>
      <w:r>
        <w:t>Strongest structural episodes</w:t>
      </w:r>
    </w:p>
    <w:p>
      <w:r>
        <w:rPr>
          <w:b/>
        </w:rPr>
        <w:t xml:space="preserve">Episode 5 — Operation Personal Space: </w:t>
      </w:r>
      <w:r>
        <w:t>The structural hinge. Mia causes relational harm, receives a consequence, apologizes without demanding instant forgiveness, and learns that love does not erase another person's boundaries.</w:t>
      </w:r>
    </w:p>
    <w:p>
      <w:r>
        <w:rPr>
          <w:b/>
        </w:rPr>
        <w:t xml:space="preserve">Episode 8 — The Crimson Mystery: </w:t>
      </w:r>
      <w:r>
        <w:t>The strongest ethical test. Mia can expose the clue and 'win' the case, but chooses Solani's dignity instead.</w:t>
      </w:r>
    </w:p>
    <w:p>
      <w:r>
        <w:rPr>
          <w:b/>
        </w:rPr>
        <w:t xml:space="preserve">Episode 11 — The Case Is Cracking: </w:t>
      </w:r>
      <w:r>
        <w:t>The culmination. Mia discovers that preparation is support, not control, and asks for help while retaining privacy and agency.</w:t>
      </w:r>
    </w:p>
    <w:p>
      <w:pPr>
        <w:pStyle w:val="Heading2"/>
      </w:pPr>
      <w:r>
        <w:t>Most vulnerable episodes</w:t>
      </w:r>
    </w:p>
    <w:p>
      <w:r>
        <w:rPr>
          <w:b/>
        </w:rPr>
        <w:t xml:space="preserve">Episode 2: </w:t>
      </w:r>
      <w:r>
        <w:t>Currently the most adult-dependent. Coach Armstrong, Nurse Nightingale, Brenda, and Solani all contribute support. The detailed packet should ensure Mia still makes a meaningful choice that belongs to her.</w:t>
      </w:r>
    </w:p>
    <w:p>
      <w:r>
        <w:rPr>
          <w:b/>
        </w:rPr>
        <w:t xml:space="preserve">Episode 6: </w:t>
      </w:r>
      <w:r>
        <w:t>The comic premise is strong, but the shape 'experiment backfires → health teacher explains → routine changes' is the episode most vulnerable to educational-TV predictability. Mia's decision to change the Myth Machine's ethics is what should carry the ending.</w:t>
      </w:r>
    </w:p>
    <w:p>
      <w:pPr>
        <w:pStyle w:val="Heading2"/>
      </w:pPr>
      <w:r>
        <w:t>Setup / continuity check</w:t>
      </w:r>
    </w:p>
    <w:p>
      <w:r>
        <w:t>No major orphaned setup appears in the Level 1 architecture. The secret-song thread is intentionally atmospheric, following an introduce → deepen → payoff pattern without becoming Mia's property to solve. The Kayla/Sophie peer thread also progresses rather than resetting.</w:t>
      </w:r>
    </w:p>
    <w:tbl>
      <w:tblPr>
        <w:tblW w:type="auto" w:w="0"/>
        <w:jc w:val="center"/>
        <w:tblLayout w:type="autofit"/>
        <w:tblLook w:firstColumn="1" w:firstRow="1" w:lastColumn="0" w:lastRow="0" w:noHBand="0" w:noVBand="1" w:val="04A0"/>
      </w:tblPr>
      <w:tblGrid>
        <w:gridCol w:w="9936"/>
      </w:tblGrid>
      <w:tr>
        <w:tc>
          <w:tcPr>
            <w:tcW w:type="dxa" w:w="9936"/>
            <w:shd w:fill="EEE7F2"/>
            <w:tcMar>
              <w:top w:w="110" w:type="dxa"/>
              <w:start w:w="140" w:type="dxa"/>
              <w:bottom w:w="110" w:type="dxa"/>
              <w:end w:w="140" w:type="dxa"/>
            </w:tcMar>
            <w:tcBorders>
              <w:top w:val="single" w:sz="6" w:color="5A3568"/>
              <w:left w:val="single" w:sz="6" w:color="5A3568"/>
              <w:bottom w:val="single" w:sz="6" w:color="5A3568"/>
              <w:right w:val="single" w:sz="6" w:color="5A3568"/>
            </w:tcBorders>
          </w:tcPr>
          <w:p>
            <w:pPr>
              <w:spacing w:after="0"/>
            </w:pPr>
            <w:r>
              <w:rPr>
                <w:b/>
                <w:color w:val="40254B"/>
              </w:rPr>
              <w:t>Highest-value craft instruction:</w:t>
            </w:r>
            <w:r>
              <w:rPr>
                <w:color w:val="2F2F2F"/>
              </w:rPr>
              <w:t xml:space="preserve"> Do not add another plotline. During detailed outlining, make sure each episode changes Mia's investigative method, one of her relationships, or her underlying belief about control.</w:t>
            </w:r>
          </w:p>
        </w:tc>
      </w:tr>
    </w:tbl>
    <w:p>
      <w:pPr>
        <w:pStyle w:val="Heading1"/>
      </w:pPr>
      <w:r>
        <w:t>4. Lens Two: Caregiver / Buyer Trust</w:t>
      </w:r>
    </w:p>
    <w:tbl>
      <w:tblPr>
        <w:tblW w:type="auto" w:w="0"/>
        <w:jc w:val="center"/>
        <w:tblLayout w:type="autofit"/>
        <w:tblLook w:firstColumn="1" w:firstRow="1" w:lastColumn="0" w:lastRow="0" w:noHBand="0" w:noVBand="1" w:val="04A0"/>
      </w:tblPr>
      <w:tblGrid>
        <w:gridCol w:w="9936"/>
      </w:tblGrid>
      <w:tr>
        <w:tc>
          <w:tcPr>
            <w:tcW w:type="dxa" w:w="9936"/>
            <w:shd w:fill="F1F6F3"/>
            <w:tcMar>
              <w:top w:w="110" w:type="dxa"/>
              <w:start w:w="140" w:type="dxa"/>
              <w:bottom w:w="110" w:type="dxa"/>
              <w:end w:w="140" w:type="dxa"/>
            </w:tcMar>
            <w:tcBorders>
              <w:top w:val="single" w:sz="6" w:color="2F6B4F"/>
              <w:left w:val="single" w:sz="6" w:color="2F6B4F"/>
              <w:bottom w:val="single" w:sz="6" w:color="2F6B4F"/>
              <w:right w:val="single" w:sz="6" w:color="2F6B4F"/>
            </w:tcBorders>
          </w:tcPr>
          <w:p>
            <w:pPr>
              <w:spacing w:after="0"/>
            </w:pPr>
            <w:r>
              <w:rPr>
                <w:b/>
                <w:color w:val="40254B"/>
              </w:rPr>
              <w:t>VERDICT:</w:t>
            </w:r>
            <w:r>
              <w:rPr>
                <w:color w:val="2F2F2F"/>
              </w:rPr>
              <w:t xml:space="preserve"> GREEN PRELIMINARY SCREEN</w:t>
            </w:r>
          </w:p>
        </w:tc>
      </w:tr>
    </w:tbl>
    <w:p>
      <w:pPr>
        <w:pStyle w:val="Heading2"/>
      </w:pPr>
      <w:r>
        <w:t>Strongest trust builders</w:t>
      </w:r>
    </w:p>
    <w:p>
      <w:pPr>
        <w:pStyle w:val="ListBullet"/>
        <w:spacing w:after="60"/>
      </w:pPr>
      <w:r>
        <w:t>Mia is allowed to be scared even after learning the facts. Preparedness is not treated as emotional perfection.</w:t>
      </w:r>
    </w:p>
    <w:p>
      <w:pPr>
        <w:pStyle w:val="ListBullet"/>
        <w:spacing w:after="60"/>
      </w:pPr>
      <w:r>
        <w:t>A first period is explicitly framed as a body milestone, not a promotion into adulthood.</w:t>
      </w:r>
    </w:p>
    <w:p>
      <w:pPr>
        <w:pStyle w:val="ListBullet"/>
        <w:spacing w:after="60"/>
      </w:pPr>
      <w:r>
        <w:t>The story repeatedly directs children toward trusted adults rather than secrecy or solitary problem-solving.</w:t>
      </w:r>
    </w:p>
    <w:p>
      <w:pPr>
        <w:pStyle w:val="ListBullet"/>
        <w:spacing w:after="60"/>
      </w:pPr>
      <w:r>
        <w:t>Hygiene is framed as care, not moral worth.</w:t>
      </w:r>
    </w:p>
    <w:p>
      <w:pPr>
        <w:pStyle w:val="ListBullet"/>
        <w:spacing w:after="60"/>
      </w:pPr>
      <w:r>
        <w:t>Periods are not treated as dirty, catastrophic, or appropriate for public announcement.</w:t>
      </w:r>
    </w:p>
    <w:p>
      <w:pPr>
        <w:pStyle w:val="ListBullet"/>
        <w:spacing w:after="60"/>
      </w:pPr>
      <w:r>
        <w:t>Solani is allowed embarrassment, anger, privacy, and limits without being punished by the story.</w:t>
      </w:r>
    </w:p>
    <w:p>
      <w:pPr>
        <w:pStyle w:val="Heading2"/>
      </w:pPr>
      <w:r>
        <w:t>Primary trust threats</w:t>
      </w:r>
    </w:p>
    <w:p>
      <w:r>
        <w:rPr>
          <w:b/>
        </w:rPr>
        <w:t xml:space="preserve">1. Episode 8 clothing reveal — MEDIUM confidence: </w:t>
      </w:r>
      <w:r>
        <w:t>The architecture contains strong dignity locks, but execution will determine whether the scene reads as privacy-centered or as a period-embarrassment setup.</w:t>
      </w:r>
    </w:p>
    <w:p>
      <w:r>
        <w:rPr>
          <w:b/>
        </w:rPr>
        <w:t xml:space="preserve">2. Episode 2 gym setting — LOW/MEDIUM confidence: </w:t>
      </w:r>
      <w:r>
        <w:t>The public setting creates story pressure. Scene-level handling must protect Mia from feeling observed or exposed.</w:t>
      </w:r>
    </w:p>
    <w:p>
      <w:r>
        <w:rPr>
          <w:b/>
        </w:rPr>
        <w:t xml:space="preserve">3. Episode 10 acne hacks — MEDIUM confidence: </w:t>
      </w:r>
      <w:r>
        <w:t>The story needs enough detail for the consequence to make sense, but not so much that an unsafe or irritating 'hack' becomes an attractive recipe before the correction arrives.</w:t>
      </w:r>
    </w:p>
    <w:p>
      <w:pPr>
        <w:pStyle w:val="Heading2"/>
      </w:pPr>
      <w:r>
        <w:t>Episode 11 milestone test</w:t>
      </w:r>
    </w:p>
    <w:p>
      <w:r>
        <w:t>At outline level, Episode 11 lands clearly as milestone rather than adulthood. The message is embedded in Mia's hidden fear, her attempt to hide, her decision to seek help, and the final identity realization. A real caregiver should still test whether that reassurance feels emotionally convincing rather than merely stated.</w:t>
      </w:r>
    </w:p>
    <w:p>
      <w:pPr>
        <w:pStyle w:val="Heading1"/>
      </w:pPr>
      <w:r>
        <w:t>5. Lens Three: Dignity / Specificity Pattern Screen</w:t>
      </w:r>
    </w:p>
    <w:tbl>
      <w:tblPr>
        <w:tblW w:type="auto" w:w="0"/>
        <w:jc w:val="center"/>
        <w:tblLayout w:type="autofit"/>
        <w:tblLook w:firstColumn="1" w:firstRow="1" w:lastColumn="0" w:lastRow="0" w:noHBand="0" w:noVBand="1" w:val="04A0"/>
      </w:tblPr>
      <w:tblGrid>
        <w:gridCol w:w="9936"/>
      </w:tblGrid>
      <w:tr>
        <w:tc>
          <w:tcPr>
            <w:tcW w:type="dxa" w:w="9936"/>
            <w:shd w:fill="FFF9EE"/>
            <w:tcMar>
              <w:top w:w="110" w:type="dxa"/>
              <w:start w:w="140" w:type="dxa"/>
              <w:bottom w:w="110" w:type="dxa"/>
              <w:end w:w="140" w:type="dxa"/>
            </w:tcMar>
            <w:tcBorders>
              <w:top w:val="single" w:sz="6" w:color="C5A15A"/>
              <w:left w:val="single" w:sz="6" w:color="C5A15A"/>
              <w:bottom w:val="single" w:sz="6" w:color="C5A15A"/>
              <w:right w:val="single" w:sz="6" w:color="C5A15A"/>
            </w:tcBorders>
          </w:tcPr>
          <w:p>
            <w:pPr>
              <w:spacing w:after="0"/>
            </w:pPr>
            <w:r>
              <w:rPr>
                <w:b/>
                <w:color w:val="40254B"/>
              </w:rPr>
              <w:t>VERDICT:</w:t>
            </w:r>
            <w:r>
              <w:rPr>
                <w:color w:val="2F2F2F"/>
              </w:rPr>
              <w:t xml:space="preserve"> YELLOW — PROMISING, BUT HUMAN VALIDATION IS STILL NECESSARY</w:t>
            </w:r>
          </w:p>
        </w:tc>
      </w:tr>
    </w:tbl>
    <w:p>
      <w:pPr>
        <w:pStyle w:val="Heading2"/>
      </w:pPr>
      <w:r>
        <w:t>Does Mia feel like a full character?</w:t>
      </w:r>
    </w:p>
    <w:p>
      <w:r>
        <w:t>Yes. She is nosy, controlling, inventive, funny, scared, occasionally dishonest, capable of hurting people, capable of repair, and not magically wise because she is the protagonist. Episode 7 is especially useful because her own fear-driven behavior creates the friendship problem she must repair.</w:t>
      </w:r>
    </w:p>
    <w:p>
      <w:pPr>
        <w:pStyle w:val="Heading2"/>
      </w:pPr>
      <w:r>
        <w:t>Does Solani retain ownership of her story?</w:t>
      </w:r>
    </w:p>
    <w:p>
      <w:r>
        <w:t>Strongly, at architecture level. The closed door is allowed to remain closed. Mia sees the lyric notebook but does not read it. Solani can set consequences, define what she shares, remain embarrassed or angry, and support Mia later without becoming the series' junior health instructor.</w:t>
      </w:r>
    </w:p>
    <w:p>
      <w:pPr>
        <w:pStyle w:val="Heading2"/>
      </w:pPr>
      <w:r>
        <w:t>Does the world naturally center Black girls?</w:t>
      </w:r>
    </w:p>
    <w:p>
      <w:r>
        <w:t>The framework is promising but the compact Level 1 grid does not yet contain enough ordinary lived detail to validate cultural specificity. The Black-girl-centered target is explicit; trusted Black adults are part of the world; and Episode 10 intentionally considers irritation and post-inflammatory marks in melanated skin. However, the actual settings are still largely functional at this stage. The detailed packets and world bible must supply particularity through relationships, humor, speech, routines, hair and skin realities where relevant, family life, place, interests, and ordinary kid behavior.</w:t>
      </w:r>
    </w:p>
    <w:tbl>
      <w:tblPr>
        <w:tblW w:type="auto" w:w="0"/>
        <w:jc w:val="center"/>
        <w:tblLayout w:type="autofit"/>
        <w:tblLook w:firstColumn="1" w:firstRow="1" w:lastColumn="0" w:lastRow="0" w:noHBand="0" w:noVBand="1" w:val="04A0"/>
      </w:tblPr>
      <w:tblGrid>
        <w:gridCol w:w="9936"/>
      </w:tblGrid>
      <w:tr>
        <w:tc>
          <w:tcPr>
            <w:tcW w:type="dxa" w:w="9936"/>
            <w:shd w:fill="EEE7F2"/>
            <w:tcMar>
              <w:top w:w="110" w:type="dxa"/>
              <w:start w:w="140" w:type="dxa"/>
              <w:bottom w:w="110" w:type="dxa"/>
              <w:end w:w="140" w:type="dxa"/>
            </w:tcMar>
            <w:tcBorders>
              <w:top w:val="single" w:sz="6" w:color="5A3568"/>
              <w:left w:val="single" w:sz="6" w:color="5A3568"/>
              <w:bottom w:val="single" w:sz="6" w:color="5A3568"/>
              <w:right w:val="single" w:sz="6" w:color="5A3568"/>
            </w:tcBorders>
          </w:tcPr>
          <w:p>
            <w:pPr>
              <w:spacing w:after="0"/>
            </w:pPr>
            <w:r>
              <w:rPr>
                <w:color w:val="2F2F2F"/>
              </w:rPr>
              <w:t>Do not solve this by sprinkling culturally coded references into every episode. Specificity should feel like the characters' actual lives, not proof-of-representation decoration.</w:t>
            </w:r>
          </w:p>
        </w:tc>
      </w:tr>
    </w:tbl>
    <w:p>
      <w:pPr>
        <w:pStyle w:val="Heading2"/>
      </w:pPr>
      <w:r>
        <w:t>Likely engagement points — LOW confidence</w:t>
      </w:r>
    </w:p>
    <w:p>
      <w:r>
        <w:t>Potential lean-in moments:</w:t>
      </w:r>
    </w:p>
    <w:p>
      <w:pPr>
        <w:pStyle w:val="ListBullet"/>
        <w:spacing w:after="60"/>
      </w:pPr>
      <w:r>
        <w:t>Evidence boards and Myth Machine theories</w:t>
      </w:r>
    </w:p>
    <w:p>
      <w:pPr>
        <w:pStyle w:val="ListBullet"/>
        <w:spacing w:after="60"/>
      </w:pPr>
      <w:r>
        <w:t>Mia treating chest tenderness as structural damage</w:t>
      </w:r>
    </w:p>
    <w:p>
      <w:pPr>
        <w:pStyle w:val="ListBullet"/>
        <w:spacing w:after="60"/>
      </w:pPr>
      <w:r>
        <w:t>The juice-commercial investigation</w:t>
      </w:r>
    </w:p>
    <w:p>
      <w:pPr>
        <w:pStyle w:val="ListBullet"/>
        <w:spacing w:after="60"/>
      </w:pPr>
      <w:r>
        <w:t>The attempted beauty formula</w:t>
      </w:r>
    </w:p>
    <w:p>
      <w:pPr>
        <w:pStyle w:val="ListBullet"/>
        <w:spacing w:after="60"/>
      </w:pPr>
      <w:r>
        <w:t>The fragrance arms race</w:t>
      </w:r>
    </w:p>
    <w:p>
      <w:pPr>
        <w:pStyle w:val="ListBullet"/>
        <w:spacing w:after="60"/>
      </w:pPr>
      <w:r>
        <w:t>The absurdly oversized period kit</w:t>
      </w:r>
    </w:p>
    <w:p>
      <w:pPr>
        <w:pStyle w:val="ListBullet"/>
        <w:spacing w:after="60"/>
      </w:pPr>
      <w:r>
        <w:t>The pimple public-relations crisis</w:t>
      </w:r>
    </w:p>
    <w:p>
      <w:r>
        <w:t>Potential check-out risk:</w:t>
      </w:r>
    </w:p>
    <w:p>
      <w:pPr>
        <w:pStyle w:val="ListBullet"/>
        <w:spacing w:after="60"/>
      </w:pPr>
      <w:r>
        <w:t>Repeated adult explanation scenes if they become lengthy</w:t>
      </w:r>
    </w:p>
    <w:p>
      <w:pPr>
        <w:pStyle w:val="ListBullet"/>
        <w:spacing w:after="60"/>
      </w:pPr>
      <w:r>
        <w:t>Moments where the intended reader transformation is spoken instead of dramatized</w:t>
      </w:r>
    </w:p>
    <w:p>
      <w:pPr>
        <w:pStyle w:val="Heading1"/>
      </w:pPr>
      <w:r>
        <w:t>6. Lens Four: Health Claim Extraction</w:t>
      </w:r>
    </w:p>
    <w:tbl>
      <w:tblPr>
        <w:tblW w:type="auto" w:w="0"/>
        <w:jc w:val="center"/>
        <w:tblLayout w:type="autofit"/>
        <w:tblLook w:firstColumn="1" w:firstRow="1" w:lastColumn="0" w:lastRow="0" w:noHBand="0" w:noVBand="1" w:val="04A0"/>
      </w:tblPr>
      <w:tblGrid>
        <w:gridCol w:w="9936"/>
      </w:tblGrid>
      <w:tr>
        <w:tc>
          <w:tcPr>
            <w:tcW w:type="dxa" w:w="9936"/>
            <w:shd w:fill="FFF9EE"/>
            <w:tcMar>
              <w:top w:w="110" w:type="dxa"/>
              <w:start w:w="140" w:type="dxa"/>
              <w:bottom w:w="110" w:type="dxa"/>
              <w:end w:w="140" w:type="dxa"/>
            </w:tcMar>
            <w:tcBorders>
              <w:top w:val="single" w:sz="6" w:color="C5A15A"/>
              <w:left w:val="single" w:sz="6" w:color="C5A15A"/>
              <w:bottom w:val="single" w:sz="6" w:color="C5A15A"/>
              <w:right w:val="single" w:sz="6" w:color="C5A15A"/>
            </w:tcBorders>
          </w:tcPr>
          <w:p>
            <w:pPr>
              <w:spacing w:after="0"/>
            </w:pPr>
            <w:r>
              <w:rPr>
                <w:b/>
                <w:color w:val="40254B"/>
              </w:rPr>
              <w:t>VERDICT:</w:t>
            </w:r>
            <w:r>
              <w:rPr>
                <w:color w:val="2F2F2F"/>
              </w:rPr>
              <w:t xml:space="preserve"> YELLOW — CLINICIAN VERIFICATION REQUIRED</w:t>
            </w:r>
          </w:p>
        </w:tc>
      </w:tr>
    </w:tbl>
    <w:p>
      <w:r>
        <w:t>This screen identifies medical or developmental claims that should be verified before prose is locked. It does not certify that the claims are accurate. No current Level 1 beat appears to rely on an obvious emergency, diagnosis, prescription medication, abuse-reporting issue, self-harm, or similar safety-critical action.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5A3568"/>
            <w:tcMar>
              <w:top w:w="80" w:type="dxa"/>
              <w:start w:w="90" w:type="dxa"/>
              <w:bottom w:w="80" w:type="dxa"/>
              <w:end w:w="90" w:type="dxa"/>
            </w:tcMar>
          </w:tcPr>
          <w:p>
            <w:r>
              <w:rPr>
                <w:b/>
                <w:color w:val="FFFFFF"/>
                <w:sz w:val="17"/>
              </w:rPr>
              <w:t>#</w:t>
            </w:r>
          </w:p>
        </w:tc>
        <w:tc>
          <w:tcPr>
            <w:tcW w:type="dxa" w:w="2484"/>
            <w:shd w:fill="5A3568"/>
            <w:tcMar>
              <w:top w:w="80" w:type="dxa"/>
              <w:start w:w="90" w:type="dxa"/>
              <w:bottom w:w="80" w:type="dxa"/>
              <w:end w:w="90" w:type="dxa"/>
            </w:tcMar>
          </w:tcPr>
          <w:p>
            <w:r>
              <w:rPr>
                <w:b/>
                <w:color w:val="FFFFFF"/>
                <w:sz w:val="17"/>
              </w:rPr>
              <w:t>Claim / implication</w:t>
            </w:r>
          </w:p>
        </w:tc>
        <w:tc>
          <w:tcPr>
            <w:tcW w:type="dxa" w:w="2484"/>
            <w:shd w:fill="5A3568"/>
            <w:tcMar>
              <w:top w:w="80" w:type="dxa"/>
              <w:start w:w="90" w:type="dxa"/>
              <w:bottom w:w="80" w:type="dxa"/>
              <w:end w:w="90" w:type="dxa"/>
            </w:tcMar>
          </w:tcPr>
          <w:p>
            <w:r>
              <w:rPr>
                <w:b/>
                <w:color w:val="FFFFFF"/>
                <w:sz w:val="17"/>
              </w:rPr>
              <w:t>Screen</w:t>
            </w:r>
          </w:p>
        </w:tc>
        <w:tc>
          <w:tcPr>
            <w:tcW w:type="dxa" w:w="2484"/>
            <w:shd w:fill="5A3568"/>
            <w:tcMar>
              <w:top w:w="80" w:type="dxa"/>
              <w:start w:w="90" w:type="dxa"/>
              <w:bottom w:w="80" w:type="dxa"/>
              <w:end w:w="90" w:type="dxa"/>
            </w:tcMar>
          </w:tcPr>
          <w:p>
            <w:r>
              <w:rPr>
                <w:b/>
                <w:color w:val="FFFFFF"/>
                <w:sz w:val="17"/>
              </w:rPr>
              <w:t>Question for clinician</w:t>
            </w:r>
          </w:p>
        </w:tc>
      </w:tr>
      <w:tr>
        <w:tc>
          <w:tcPr>
            <w:tcW w:type="dxa" w:w="2484"/>
            <w:tcMar>
              <w:top w:w="55" w:type="dxa"/>
              <w:start w:w="65" w:type="dxa"/>
              <w:bottom w:w="55" w:type="dxa"/>
              <w:end w:w="65" w:type="dxa"/>
            </w:tcMar>
            <w:vAlign w:val="top"/>
          </w:tcPr>
          <w:p>
            <w:pPr>
              <w:spacing w:after="0"/>
            </w:pPr>
            <w:r>
              <w:rPr>
                <w:sz w:val="15"/>
              </w:rPr>
              <w:t>1</w:t>
            </w:r>
          </w:p>
        </w:tc>
        <w:tc>
          <w:tcPr>
            <w:tcW w:type="dxa" w:w="2484"/>
            <w:tcMar>
              <w:top w:w="55" w:type="dxa"/>
              <w:start w:w="65" w:type="dxa"/>
              <w:bottom w:w="55" w:type="dxa"/>
              <w:end w:w="65" w:type="dxa"/>
            </w:tcMar>
            <w:vAlign w:val="top"/>
          </w:tcPr>
          <w:p>
            <w:pPr>
              <w:spacing w:after="0"/>
            </w:pPr>
            <w:r>
              <w:rPr>
                <w:sz w:val="15"/>
              </w:rPr>
              <w:t>Puberty occurs gradually and on individual schedules.</w:t>
            </w:r>
          </w:p>
        </w:tc>
        <w:tc>
          <w:tcPr>
            <w:tcW w:type="dxa" w:w="2484"/>
            <w:tcMar>
              <w:top w:w="55" w:type="dxa"/>
              <w:start w:w="65" w:type="dxa"/>
              <w:bottom w:w="55" w:type="dxa"/>
              <w:end w:w="65" w:type="dxa"/>
            </w:tcMar>
            <w:vAlign w:val="top"/>
          </w:tcPr>
          <w:p>
            <w:pPr>
              <w:spacing w:after="0"/>
            </w:pPr>
            <w:r>
              <w:rPr>
                <w:sz w:val="15"/>
              </w:rPr>
              <w:t>Verify wording</w:t>
            </w:r>
          </w:p>
        </w:tc>
        <w:tc>
          <w:tcPr>
            <w:tcW w:type="dxa" w:w="2484"/>
            <w:tcMar>
              <w:top w:w="55" w:type="dxa"/>
              <w:start w:w="65" w:type="dxa"/>
              <w:bottom w:w="55" w:type="dxa"/>
              <w:end w:w="65" w:type="dxa"/>
            </w:tcMar>
            <w:vAlign w:val="top"/>
          </w:tcPr>
          <w:p>
            <w:pPr>
              <w:spacing w:after="0"/>
            </w:pPr>
            <w:r>
              <w:rPr>
                <w:sz w:val="15"/>
              </w:rPr>
              <w:t>Is the planned explanation sufficiently accurate for ages 9–11 without implying a fixed order or timeline?</w:t>
            </w:r>
          </w:p>
        </w:tc>
      </w:tr>
      <w:tr>
        <w:tc>
          <w:tcPr>
            <w:tcW w:type="dxa" w:w="2484"/>
            <w:tcMar>
              <w:top w:w="55" w:type="dxa"/>
              <w:start w:w="65" w:type="dxa"/>
              <w:bottom w:w="55" w:type="dxa"/>
              <w:end w:w="65" w:type="dxa"/>
            </w:tcMar>
            <w:vAlign w:val="top"/>
          </w:tcPr>
          <w:p>
            <w:pPr>
              <w:spacing w:after="0"/>
            </w:pPr>
            <w:r>
              <w:rPr>
                <w:sz w:val="15"/>
              </w:rPr>
              <w:t>2</w:t>
            </w:r>
          </w:p>
        </w:tc>
        <w:tc>
          <w:tcPr>
            <w:tcW w:type="dxa" w:w="2484"/>
            <w:tcMar>
              <w:top w:w="55" w:type="dxa"/>
              <w:start w:w="65" w:type="dxa"/>
              <w:bottom w:w="55" w:type="dxa"/>
              <w:end w:w="65" w:type="dxa"/>
            </w:tcMar>
            <w:vAlign w:val="top"/>
          </w:tcPr>
          <w:p>
            <w:pPr>
              <w:spacing w:after="0"/>
            </w:pPr>
            <w:r>
              <w:rPr>
                <w:sz w:val="15"/>
              </w:rPr>
              <w:t>Breast budding/tenderness may occur during development and may be uneven.</w:t>
            </w:r>
          </w:p>
        </w:tc>
        <w:tc>
          <w:tcPr>
            <w:tcW w:type="dxa" w:w="2484"/>
            <w:tcMar>
              <w:top w:w="55" w:type="dxa"/>
              <w:start w:w="65" w:type="dxa"/>
              <w:bottom w:w="55" w:type="dxa"/>
              <w:end w:w="65" w:type="dxa"/>
            </w:tcMar>
            <w:vAlign w:val="top"/>
          </w:tcPr>
          <w:p>
            <w:pPr>
              <w:spacing w:after="0"/>
            </w:pPr>
            <w:r>
              <w:rPr>
                <w:sz w:val="15"/>
              </w:rPr>
              <w:t>Needs verification</w:t>
            </w:r>
          </w:p>
        </w:tc>
        <w:tc>
          <w:tcPr>
            <w:tcW w:type="dxa" w:w="2484"/>
            <w:tcMar>
              <w:top w:w="55" w:type="dxa"/>
              <w:start w:w="65" w:type="dxa"/>
              <w:bottom w:w="55" w:type="dxa"/>
              <w:end w:w="65" w:type="dxa"/>
            </w:tcMar>
            <w:vAlign w:val="top"/>
          </w:tcPr>
          <w:p>
            <w:pPr>
              <w:spacing w:after="0"/>
            </w:pPr>
            <w:r>
              <w:rPr>
                <w:sz w:val="15"/>
              </w:rPr>
              <w:t>Is Episode 2 developmentally and medically sound, and what signs should distinguish routine tenderness from a concern needing evaluation?</w:t>
            </w:r>
          </w:p>
        </w:tc>
      </w:tr>
      <w:tr>
        <w:tc>
          <w:tcPr>
            <w:tcW w:type="dxa" w:w="2484"/>
            <w:tcMar>
              <w:top w:w="55" w:type="dxa"/>
              <w:start w:w="65" w:type="dxa"/>
              <w:bottom w:w="55" w:type="dxa"/>
              <w:end w:w="65" w:type="dxa"/>
            </w:tcMar>
            <w:vAlign w:val="top"/>
          </w:tcPr>
          <w:p>
            <w:pPr>
              <w:spacing w:after="0"/>
            </w:pPr>
            <w:r>
              <w:rPr>
                <w:sz w:val="15"/>
              </w:rPr>
              <w:t>3</w:t>
            </w:r>
          </w:p>
        </w:tc>
        <w:tc>
          <w:tcPr>
            <w:tcW w:type="dxa" w:w="2484"/>
            <w:tcMar>
              <w:top w:w="55" w:type="dxa"/>
              <w:start w:w="65" w:type="dxa"/>
              <w:bottom w:w="55" w:type="dxa"/>
              <w:end w:w="65" w:type="dxa"/>
            </w:tcMar>
            <w:vAlign w:val="top"/>
          </w:tcPr>
          <w:p>
            <w:pPr>
              <w:spacing w:after="0"/>
            </w:pPr>
            <w:r>
              <w:rPr>
                <w:sz w:val="15"/>
              </w:rPr>
              <w:t>Emotional intensity may change during puberty; hormones are one influence.</w:t>
            </w:r>
          </w:p>
        </w:tc>
        <w:tc>
          <w:tcPr>
            <w:tcW w:type="dxa" w:w="2484"/>
            <w:tcMar>
              <w:top w:w="55" w:type="dxa"/>
              <w:start w:w="65" w:type="dxa"/>
              <w:bottom w:w="55" w:type="dxa"/>
              <w:end w:w="65" w:type="dxa"/>
            </w:tcMar>
            <w:vAlign w:val="top"/>
          </w:tcPr>
          <w:p>
            <w:pPr>
              <w:spacing w:after="0"/>
            </w:pPr>
            <w:r>
              <w:rPr>
                <w:sz w:val="15"/>
              </w:rPr>
              <w:t>Needs verification</w:t>
            </w:r>
          </w:p>
        </w:tc>
        <w:tc>
          <w:tcPr>
            <w:tcW w:type="dxa" w:w="2484"/>
            <w:tcMar>
              <w:top w:w="55" w:type="dxa"/>
              <w:start w:w="65" w:type="dxa"/>
              <w:bottom w:w="55" w:type="dxa"/>
              <w:end w:w="65" w:type="dxa"/>
            </w:tcMar>
            <w:vAlign w:val="top"/>
          </w:tcPr>
          <w:p>
            <w:pPr>
              <w:spacing w:after="0"/>
            </w:pPr>
            <w:r>
              <w:rPr>
                <w:sz w:val="15"/>
              </w:rPr>
              <w:t>Is this phrasing appropriately nuanced so ordinary emotions are not inaccurately blamed on hormones?</w:t>
            </w:r>
          </w:p>
        </w:tc>
      </w:tr>
      <w:tr>
        <w:tc>
          <w:tcPr>
            <w:tcW w:type="dxa" w:w="2484"/>
            <w:tcMar>
              <w:top w:w="55" w:type="dxa"/>
              <w:start w:w="65" w:type="dxa"/>
              <w:bottom w:w="55" w:type="dxa"/>
              <w:end w:w="65" w:type="dxa"/>
            </w:tcMar>
            <w:vAlign w:val="top"/>
          </w:tcPr>
          <w:p>
            <w:pPr>
              <w:spacing w:after="0"/>
            </w:pPr>
            <w:r>
              <w:rPr>
                <w:sz w:val="15"/>
              </w:rPr>
              <w:t>4</w:t>
            </w:r>
          </w:p>
        </w:tc>
        <w:tc>
          <w:tcPr>
            <w:tcW w:type="dxa" w:w="2484"/>
            <w:tcMar>
              <w:top w:w="55" w:type="dxa"/>
              <w:start w:w="65" w:type="dxa"/>
              <w:bottom w:w="55" w:type="dxa"/>
              <w:end w:w="65" w:type="dxa"/>
            </w:tcMar>
            <w:vAlign w:val="top"/>
          </w:tcPr>
          <w:p>
            <w:pPr>
              <w:spacing w:after="0"/>
            </w:pPr>
            <w:r>
              <w:rPr>
                <w:sz w:val="15"/>
              </w:rPr>
              <w:t>Sweat/body odor are normal; deodorant and antiperspirant have different functions; harsh/fragranced products can irritate.</w:t>
            </w:r>
          </w:p>
        </w:tc>
        <w:tc>
          <w:tcPr>
            <w:tcW w:type="dxa" w:w="2484"/>
            <w:tcMar>
              <w:top w:w="55" w:type="dxa"/>
              <w:start w:w="65" w:type="dxa"/>
              <w:bottom w:w="55" w:type="dxa"/>
              <w:end w:w="65" w:type="dxa"/>
            </w:tcMar>
            <w:vAlign w:val="top"/>
          </w:tcPr>
          <w:p>
            <w:pPr>
              <w:spacing w:after="0"/>
            </w:pPr>
            <w:r>
              <w:rPr>
                <w:sz w:val="15"/>
              </w:rPr>
              <w:t>Needs verification</w:t>
            </w:r>
          </w:p>
        </w:tc>
        <w:tc>
          <w:tcPr>
            <w:tcW w:type="dxa" w:w="2484"/>
            <w:tcMar>
              <w:top w:w="55" w:type="dxa"/>
              <w:start w:w="65" w:type="dxa"/>
              <w:bottom w:w="55" w:type="dxa"/>
              <w:end w:w="65" w:type="dxa"/>
            </w:tcMar>
            <w:vAlign w:val="top"/>
          </w:tcPr>
          <w:p>
            <w:pPr>
              <w:spacing w:after="0"/>
            </w:pPr>
            <w:r>
              <w:rPr>
                <w:sz w:val="15"/>
              </w:rPr>
              <w:t>What distinctions and safety cautions should be included for this age without overcomplicating the story?</w:t>
            </w:r>
          </w:p>
        </w:tc>
      </w:tr>
      <w:tr>
        <w:tc>
          <w:tcPr>
            <w:tcW w:type="dxa" w:w="2484"/>
            <w:tcMar>
              <w:top w:w="55" w:type="dxa"/>
              <w:start w:w="65" w:type="dxa"/>
              <w:bottom w:w="55" w:type="dxa"/>
              <w:end w:w="65" w:type="dxa"/>
            </w:tcMar>
            <w:vAlign w:val="top"/>
          </w:tcPr>
          <w:p>
            <w:pPr>
              <w:spacing w:after="0"/>
            </w:pPr>
            <w:r>
              <w:rPr>
                <w:sz w:val="15"/>
              </w:rPr>
              <w:t>5</w:t>
            </w:r>
          </w:p>
        </w:tc>
        <w:tc>
          <w:tcPr>
            <w:tcW w:type="dxa" w:w="2484"/>
            <w:tcMar>
              <w:top w:w="55" w:type="dxa"/>
              <w:start w:w="65" w:type="dxa"/>
              <w:bottom w:w="55" w:type="dxa"/>
              <w:end w:w="65" w:type="dxa"/>
            </w:tcMar>
            <w:vAlign w:val="top"/>
          </w:tcPr>
          <w:p>
            <w:pPr>
              <w:spacing w:after="0"/>
            </w:pPr>
            <w:r>
              <w:rPr>
                <w:sz w:val="15"/>
              </w:rPr>
              <w:t>Menstruation is uterine bleeding rather than an injury; timing and experience vary.</w:t>
            </w:r>
          </w:p>
        </w:tc>
        <w:tc>
          <w:tcPr>
            <w:tcW w:type="dxa" w:w="2484"/>
            <w:tcMar>
              <w:top w:w="55" w:type="dxa"/>
              <w:start w:w="65" w:type="dxa"/>
              <w:bottom w:w="55" w:type="dxa"/>
              <w:end w:w="65" w:type="dxa"/>
            </w:tcMar>
            <w:vAlign w:val="top"/>
          </w:tcPr>
          <w:p>
            <w:pPr>
              <w:spacing w:after="0"/>
            </w:pPr>
            <w:r>
              <w:rPr>
                <w:sz w:val="15"/>
              </w:rPr>
              <w:t>Needs verification</w:t>
            </w:r>
          </w:p>
        </w:tc>
        <w:tc>
          <w:tcPr>
            <w:tcW w:type="dxa" w:w="2484"/>
            <w:tcMar>
              <w:top w:w="55" w:type="dxa"/>
              <w:start w:w="65" w:type="dxa"/>
              <w:bottom w:w="55" w:type="dxa"/>
              <w:end w:w="65" w:type="dxa"/>
            </w:tcMar>
            <w:vAlign w:val="top"/>
          </w:tcPr>
          <w:p>
            <w:pPr>
              <w:spacing w:after="0"/>
            </w:pPr>
            <w:r>
              <w:rPr>
                <w:sz w:val="15"/>
              </w:rPr>
              <w:t>Is the Episode 8 explanation both anatomically accurate and appropriately simplified for ages 9–11?</w:t>
            </w:r>
          </w:p>
        </w:tc>
      </w:tr>
      <w:tr>
        <w:tc>
          <w:tcPr>
            <w:tcW w:type="dxa" w:w="2484"/>
            <w:tcMar>
              <w:top w:w="55" w:type="dxa"/>
              <w:start w:w="65" w:type="dxa"/>
              <w:bottom w:w="55" w:type="dxa"/>
              <w:end w:w="65" w:type="dxa"/>
            </w:tcMar>
            <w:vAlign w:val="top"/>
          </w:tcPr>
          <w:p>
            <w:pPr>
              <w:spacing w:after="0"/>
            </w:pPr>
            <w:r>
              <w:rPr>
                <w:sz w:val="15"/>
              </w:rPr>
              <w:t>6</w:t>
            </w:r>
          </w:p>
        </w:tc>
        <w:tc>
          <w:tcPr>
            <w:tcW w:type="dxa" w:w="2484"/>
            <w:tcMar>
              <w:top w:w="55" w:type="dxa"/>
              <w:start w:w="65" w:type="dxa"/>
              <w:bottom w:w="55" w:type="dxa"/>
              <w:end w:w="65" w:type="dxa"/>
            </w:tcMar>
            <w:vAlign w:val="top"/>
          </w:tcPr>
          <w:p>
            <w:pPr>
              <w:spacing w:after="0"/>
            </w:pPr>
            <w:r>
              <w:rPr>
                <w:sz w:val="15"/>
              </w:rPr>
              <w:t>Period products and routines vary; a basic kit can reduce panic.</w:t>
            </w:r>
          </w:p>
        </w:tc>
        <w:tc>
          <w:tcPr>
            <w:tcW w:type="dxa" w:w="2484"/>
            <w:tcMar>
              <w:top w:w="55" w:type="dxa"/>
              <w:start w:w="65" w:type="dxa"/>
              <w:bottom w:w="55" w:type="dxa"/>
              <w:end w:w="65" w:type="dxa"/>
            </w:tcMar>
            <w:vAlign w:val="top"/>
          </w:tcPr>
          <w:p>
            <w:pPr>
              <w:spacing w:after="0"/>
            </w:pPr>
            <w:r>
              <w:rPr>
                <w:sz w:val="15"/>
              </w:rPr>
              <w:t>Low-risk, verify specifics</w:t>
            </w:r>
          </w:p>
        </w:tc>
        <w:tc>
          <w:tcPr>
            <w:tcW w:type="dxa" w:w="2484"/>
            <w:tcMar>
              <w:top w:w="55" w:type="dxa"/>
              <w:start w:w="65" w:type="dxa"/>
              <w:bottom w:w="55" w:type="dxa"/>
              <w:end w:w="65" w:type="dxa"/>
            </w:tcMar>
            <w:vAlign w:val="top"/>
          </w:tcPr>
          <w:p>
            <w:pPr>
              <w:spacing w:after="0"/>
            </w:pPr>
            <w:r>
              <w:rPr>
                <w:sz w:val="15"/>
              </w:rPr>
              <w:t>Which products/actions are reasonable to mention in a first-period preparedness scene at this age?</w:t>
            </w:r>
          </w:p>
        </w:tc>
      </w:tr>
      <w:tr>
        <w:tc>
          <w:tcPr>
            <w:tcW w:type="dxa" w:w="2484"/>
            <w:tcMar>
              <w:top w:w="55" w:type="dxa"/>
              <w:start w:w="65" w:type="dxa"/>
              <w:bottom w:w="55" w:type="dxa"/>
              <w:end w:w="65" w:type="dxa"/>
            </w:tcMar>
            <w:vAlign w:val="top"/>
          </w:tcPr>
          <w:p>
            <w:pPr>
              <w:spacing w:after="0"/>
            </w:pPr>
            <w:r>
              <w:rPr>
                <w:sz w:val="15"/>
              </w:rPr>
              <w:t>7</w:t>
            </w:r>
          </w:p>
        </w:tc>
        <w:tc>
          <w:tcPr>
            <w:tcW w:type="dxa" w:w="2484"/>
            <w:tcMar>
              <w:top w:w="55" w:type="dxa"/>
              <w:start w:w="65" w:type="dxa"/>
              <w:bottom w:w="55" w:type="dxa"/>
              <w:end w:w="65" w:type="dxa"/>
            </w:tcMar>
            <w:vAlign w:val="top"/>
          </w:tcPr>
          <w:p>
            <w:pPr>
              <w:spacing w:after="0"/>
            </w:pPr>
            <w:r>
              <w:rPr>
                <w:sz w:val="15"/>
              </w:rPr>
              <w:t>Periods generally do not require stopping school, activity, or ordinary life.</w:t>
            </w:r>
          </w:p>
        </w:tc>
        <w:tc>
          <w:tcPr>
            <w:tcW w:type="dxa" w:w="2484"/>
            <w:tcMar>
              <w:top w:w="55" w:type="dxa"/>
              <w:start w:w="65" w:type="dxa"/>
              <w:bottom w:w="55" w:type="dxa"/>
              <w:end w:w="65" w:type="dxa"/>
            </w:tcMar>
            <w:vAlign w:val="top"/>
          </w:tcPr>
          <w:p>
            <w:pPr>
              <w:spacing w:after="0"/>
            </w:pPr>
            <w:r>
              <w:rPr>
                <w:sz w:val="15"/>
              </w:rPr>
              <w:t>Verify qualification</w:t>
            </w:r>
          </w:p>
        </w:tc>
        <w:tc>
          <w:tcPr>
            <w:tcW w:type="dxa" w:w="2484"/>
            <w:tcMar>
              <w:top w:w="55" w:type="dxa"/>
              <w:start w:w="65" w:type="dxa"/>
              <w:bottom w:w="55" w:type="dxa"/>
              <w:end w:w="65" w:type="dxa"/>
            </w:tcMar>
            <w:vAlign w:val="top"/>
          </w:tcPr>
          <w:p>
            <w:pPr>
              <w:spacing w:after="0"/>
            </w:pPr>
            <w:r>
              <w:rPr>
                <w:sz w:val="15"/>
              </w:rPr>
              <w:t>What wording prevents this from minimizing girls who experience significant symptoms?</w:t>
            </w:r>
          </w:p>
        </w:tc>
      </w:tr>
      <w:tr>
        <w:tc>
          <w:tcPr>
            <w:tcW w:type="dxa" w:w="2484"/>
            <w:tcMar>
              <w:top w:w="55" w:type="dxa"/>
              <w:start w:w="65" w:type="dxa"/>
              <w:bottom w:w="55" w:type="dxa"/>
              <w:end w:w="65" w:type="dxa"/>
            </w:tcMar>
            <w:vAlign w:val="top"/>
          </w:tcPr>
          <w:p>
            <w:pPr>
              <w:spacing w:after="0"/>
            </w:pPr>
            <w:r>
              <w:rPr>
                <w:sz w:val="15"/>
              </w:rPr>
              <w:t>8</w:t>
            </w:r>
          </w:p>
        </w:tc>
        <w:tc>
          <w:tcPr>
            <w:tcW w:type="dxa" w:w="2484"/>
            <w:tcMar>
              <w:top w:w="55" w:type="dxa"/>
              <w:start w:w="65" w:type="dxa"/>
              <w:bottom w:w="55" w:type="dxa"/>
              <w:end w:w="65" w:type="dxa"/>
            </w:tcMar>
            <w:vAlign w:val="top"/>
          </w:tcPr>
          <w:p>
            <w:pPr>
              <w:spacing w:after="0"/>
            </w:pPr>
            <w:r>
              <w:rPr>
                <w:sz w:val="15"/>
              </w:rPr>
              <w:t>Acne is common and is not simply caused by being dirty.</w:t>
            </w:r>
          </w:p>
        </w:tc>
        <w:tc>
          <w:tcPr>
            <w:tcW w:type="dxa" w:w="2484"/>
            <w:tcMar>
              <w:top w:w="55" w:type="dxa"/>
              <w:start w:w="65" w:type="dxa"/>
              <w:bottom w:w="55" w:type="dxa"/>
              <w:end w:w="65" w:type="dxa"/>
            </w:tcMar>
            <w:vAlign w:val="top"/>
          </w:tcPr>
          <w:p>
            <w:pPr>
              <w:spacing w:after="0"/>
            </w:pPr>
            <w:r>
              <w:rPr>
                <w:sz w:val="15"/>
              </w:rPr>
              <w:t>Needs verification</w:t>
            </w:r>
          </w:p>
        </w:tc>
        <w:tc>
          <w:tcPr>
            <w:tcW w:type="dxa" w:w="2484"/>
            <w:tcMar>
              <w:top w:w="55" w:type="dxa"/>
              <w:start w:w="65" w:type="dxa"/>
              <w:bottom w:w="55" w:type="dxa"/>
              <w:end w:w="65" w:type="dxa"/>
            </w:tcMar>
            <w:vAlign w:val="top"/>
          </w:tcPr>
          <w:p>
            <w:pPr>
              <w:spacing w:after="0"/>
            </w:pPr>
            <w:r>
              <w:rPr>
                <w:sz w:val="15"/>
              </w:rPr>
              <w:t>Is the planned acne explanation accurate and age-appropriate?</w:t>
            </w:r>
          </w:p>
        </w:tc>
      </w:tr>
      <w:tr>
        <w:tc>
          <w:tcPr>
            <w:tcW w:type="dxa" w:w="2484"/>
            <w:tcMar>
              <w:top w:w="55" w:type="dxa"/>
              <w:start w:w="65" w:type="dxa"/>
              <w:bottom w:w="55" w:type="dxa"/>
              <w:end w:w="65" w:type="dxa"/>
            </w:tcMar>
            <w:vAlign w:val="top"/>
          </w:tcPr>
          <w:p>
            <w:pPr>
              <w:spacing w:after="0"/>
            </w:pPr>
            <w:r>
              <w:rPr>
                <w:sz w:val="15"/>
              </w:rPr>
              <w:t>9</w:t>
            </w:r>
          </w:p>
        </w:tc>
        <w:tc>
          <w:tcPr>
            <w:tcW w:type="dxa" w:w="2484"/>
            <w:tcMar>
              <w:top w:w="55" w:type="dxa"/>
              <w:start w:w="65" w:type="dxa"/>
              <w:bottom w:w="55" w:type="dxa"/>
              <w:end w:w="65" w:type="dxa"/>
            </w:tcMar>
            <w:vAlign w:val="top"/>
          </w:tcPr>
          <w:p>
            <w:pPr>
              <w:spacing w:after="0"/>
            </w:pPr>
            <w:r>
              <w:rPr>
                <w:sz w:val="15"/>
              </w:rPr>
              <w:t>Picking/harsh hacks can worsen irritation and dark marks.</w:t>
            </w:r>
          </w:p>
        </w:tc>
        <w:tc>
          <w:tcPr>
            <w:tcW w:type="dxa" w:w="2484"/>
            <w:tcMar>
              <w:top w:w="55" w:type="dxa"/>
              <w:start w:w="65" w:type="dxa"/>
              <w:bottom w:w="55" w:type="dxa"/>
              <w:end w:w="65" w:type="dxa"/>
            </w:tcMar>
            <w:vAlign w:val="top"/>
          </w:tcPr>
          <w:p>
            <w:pPr>
              <w:spacing w:after="0"/>
            </w:pPr>
            <w:r>
              <w:rPr>
                <w:sz w:val="15"/>
              </w:rPr>
              <w:t>Needs verification</w:t>
            </w:r>
          </w:p>
        </w:tc>
        <w:tc>
          <w:tcPr>
            <w:tcW w:type="dxa" w:w="2484"/>
            <w:tcMar>
              <w:top w:w="55" w:type="dxa"/>
              <w:start w:w="65" w:type="dxa"/>
              <w:bottom w:w="55" w:type="dxa"/>
              <w:end w:w="65" w:type="dxa"/>
            </w:tcMar>
            <w:vAlign w:val="top"/>
          </w:tcPr>
          <w:p>
            <w:pPr>
              <w:spacing w:after="0"/>
            </w:pPr>
            <w:r>
              <w:rPr>
                <w:sz w:val="15"/>
              </w:rPr>
              <w:t>What wording accurately addresses post-inflammatory pigment changes in melanated skin without drifting into treatment advice?</w:t>
            </w:r>
          </w:p>
        </w:tc>
      </w:tr>
      <w:tr>
        <w:tc>
          <w:tcPr>
            <w:tcW w:type="dxa" w:w="2484"/>
            <w:tcMar>
              <w:top w:w="55" w:type="dxa"/>
              <w:start w:w="65" w:type="dxa"/>
              <w:bottom w:w="55" w:type="dxa"/>
              <w:end w:w="65" w:type="dxa"/>
            </w:tcMar>
            <w:vAlign w:val="top"/>
          </w:tcPr>
          <w:p>
            <w:pPr>
              <w:spacing w:after="0"/>
            </w:pPr>
            <w:r>
              <w:rPr>
                <w:sz w:val="15"/>
              </w:rPr>
              <w:t>10</w:t>
            </w:r>
          </w:p>
        </w:tc>
        <w:tc>
          <w:tcPr>
            <w:tcW w:type="dxa" w:w="2484"/>
            <w:tcMar>
              <w:top w:w="55" w:type="dxa"/>
              <w:start w:w="65" w:type="dxa"/>
              <w:bottom w:w="55" w:type="dxa"/>
              <w:end w:w="65" w:type="dxa"/>
            </w:tcMar>
            <w:vAlign w:val="top"/>
          </w:tcPr>
          <w:p>
            <w:pPr>
              <w:spacing w:after="0"/>
            </w:pPr>
            <w:r>
              <w:rPr>
                <w:sz w:val="15"/>
              </w:rPr>
              <w:t>Persistent/painful skin issues should be raised with an adult/clinician.</w:t>
            </w:r>
          </w:p>
        </w:tc>
        <w:tc>
          <w:tcPr>
            <w:tcW w:type="dxa" w:w="2484"/>
            <w:tcMar>
              <w:top w:w="55" w:type="dxa"/>
              <w:start w:w="65" w:type="dxa"/>
              <w:bottom w:w="55" w:type="dxa"/>
              <w:end w:w="65" w:type="dxa"/>
            </w:tcMar>
            <w:vAlign w:val="top"/>
          </w:tcPr>
          <w:p>
            <w:pPr>
              <w:spacing w:after="0"/>
            </w:pPr>
            <w:r>
              <w:rPr>
                <w:sz w:val="15"/>
              </w:rPr>
              <w:t>Needs criteria</w:t>
            </w:r>
          </w:p>
        </w:tc>
        <w:tc>
          <w:tcPr>
            <w:tcW w:type="dxa" w:w="2484"/>
            <w:tcMar>
              <w:top w:w="55" w:type="dxa"/>
              <w:start w:w="65" w:type="dxa"/>
              <w:bottom w:w="55" w:type="dxa"/>
              <w:end w:w="65" w:type="dxa"/>
            </w:tcMar>
            <w:vAlign w:val="top"/>
          </w:tcPr>
          <w:p>
            <w:pPr>
              <w:spacing w:after="0"/>
            </w:pPr>
            <w:r>
              <w:rPr>
                <w:sz w:val="15"/>
              </w:rPr>
              <w:t>What age-appropriate signs warrant medical evaluation?</w:t>
            </w:r>
          </w:p>
        </w:tc>
      </w:tr>
      <w:tr>
        <w:tc>
          <w:tcPr>
            <w:tcW w:type="dxa" w:w="2484"/>
            <w:tcMar>
              <w:top w:w="55" w:type="dxa"/>
              <w:start w:w="65" w:type="dxa"/>
              <w:bottom w:w="55" w:type="dxa"/>
              <w:end w:w="65" w:type="dxa"/>
            </w:tcMar>
            <w:vAlign w:val="top"/>
          </w:tcPr>
          <w:p>
            <w:pPr>
              <w:spacing w:after="0"/>
            </w:pPr>
            <w:r>
              <w:rPr>
                <w:sz w:val="15"/>
              </w:rPr>
              <w:t>11</w:t>
            </w:r>
          </w:p>
        </w:tc>
        <w:tc>
          <w:tcPr>
            <w:tcW w:type="dxa" w:w="2484"/>
            <w:tcMar>
              <w:top w:w="55" w:type="dxa"/>
              <w:start w:w="65" w:type="dxa"/>
              <w:bottom w:w="55" w:type="dxa"/>
              <w:end w:w="65" w:type="dxa"/>
            </w:tcMar>
            <w:vAlign w:val="top"/>
          </w:tcPr>
          <w:p>
            <w:pPr>
              <w:spacing w:after="0"/>
            </w:pPr>
            <w:r>
              <w:rPr>
                <w:sz w:val="15"/>
              </w:rPr>
              <w:t>A first period is one developmental milestone rather than evidence of adulthood.</w:t>
            </w:r>
          </w:p>
        </w:tc>
        <w:tc>
          <w:tcPr>
            <w:tcW w:type="dxa" w:w="2484"/>
            <w:tcMar>
              <w:top w:w="55" w:type="dxa"/>
              <w:start w:w="65" w:type="dxa"/>
              <w:bottom w:w="55" w:type="dxa"/>
              <w:end w:w="65" w:type="dxa"/>
            </w:tcMar>
            <w:vAlign w:val="top"/>
          </w:tcPr>
          <w:p>
            <w:pPr>
              <w:spacing w:after="0"/>
            </w:pPr>
            <w:r>
              <w:rPr>
                <w:sz w:val="15"/>
              </w:rPr>
              <w:t>Developmental framing + medical context</w:t>
            </w:r>
          </w:p>
        </w:tc>
        <w:tc>
          <w:tcPr>
            <w:tcW w:type="dxa" w:w="2484"/>
            <w:tcMar>
              <w:top w:w="55" w:type="dxa"/>
              <w:start w:w="65" w:type="dxa"/>
              <w:bottom w:w="55" w:type="dxa"/>
              <w:end w:w="65" w:type="dxa"/>
            </w:tcMar>
            <w:vAlign w:val="top"/>
          </w:tcPr>
          <w:p>
            <w:pPr>
              <w:spacing w:after="0"/>
            </w:pPr>
            <w:r>
              <w:rPr>
                <w:sz w:val="15"/>
              </w:rPr>
              <w:t>Is any additional explanation needed so readers understand that menarche does not equal physical, emotional, or social adulthood?</w:t>
            </w:r>
          </w:p>
        </w:tc>
      </w:tr>
      <w:tr>
        <w:tc>
          <w:tcPr>
            <w:tcW w:type="dxa" w:w="2484"/>
            <w:tcMar>
              <w:top w:w="55" w:type="dxa"/>
              <w:start w:w="65" w:type="dxa"/>
              <w:bottom w:w="55" w:type="dxa"/>
              <w:end w:w="65" w:type="dxa"/>
            </w:tcMar>
            <w:vAlign w:val="top"/>
          </w:tcPr>
          <w:p>
            <w:pPr>
              <w:spacing w:after="0"/>
            </w:pPr>
            <w:r>
              <w:rPr>
                <w:sz w:val="15"/>
              </w:rPr>
              <w:t>12</w:t>
            </w:r>
          </w:p>
        </w:tc>
        <w:tc>
          <w:tcPr>
            <w:tcW w:type="dxa" w:w="2484"/>
            <w:tcMar>
              <w:top w:w="55" w:type="dxa"/>
              <w:start w:w="65" w:type="dxa"/>
              <w:bottom w:w="55" w:type="dxa"/>
              <w:end w:w="65" w:type="dxa"/>
            </w:tcMar>
            <w:vAlign w:val="top"/>
          </w:tcPr>
          <w:p>
            <w:pPr>
              <w:spacing w:after="0"/>
            </w:pPr>
            <w:r>
              <w:rPr>
                <w:sz w:val="15"/>
              </w:rPr>
              <w:t>Urgent or concerning symptoms require adult/clinical support.</w:t>
            </w:r>
          </w:p>
        </w:tc>
        <w:tc>
          <w:tcPr>
            <w:tcW w:type="dxa" w:w="2484"/>
            <w:tcMar>
              <w:top w:w="55" w:type="dxa"/>
              <w:start w:w="65" w:type="dxa"/>
              <w:bottom w:w="55" w:type="dxa"/>
              <w:end w:w="65" w:type="dxa"/>
            </w:tcMar>
            <w:vAlign w:val="top"/>
          </w:tcPr>
          <w:p>
            <w:pPr>
              <w:spacing w:after="0"/>
            </w:pPr>
            <w:r>
              <w:rPr>
                <w:sz w:val="15"/>
              </w:rPr>
              <w:t>Too vague at present</w:t>
            </w:r>
          </w:p>
        </w:tc>
        <w:tc>
          <w:tcPr>
            <w:tcW w:type="dxa" w:w="2484"/>
            <w:tcMar>
              <w:top w:w="55" w:type="dxa"/>
              <w:start w:w="65" w:type="dxa"/>
              <w:bottom w:w="55" w:type="dxa"/>
              <w:end w:w="65" w:type="dxa"/>
            </w:tcMar>
            <w:vAlign w:val="top"/>
          </w:tcPr>
          <w:p>
            <w:pPr>
              <w:spacing w:after="0"/>
            </w:pPr>
            <w:r>
              <w:rPr>
                <w:sz w:val="15"/>
              </w:rPr>
              <w:t>Which few warning signs, if any, are important enough to include in story or back matter for this age?</w:t>
            </w:r>
          </w:p>
        </w:tc>
      </w:tr>
    </w:tbl>
    <w:p>
      <w:pPr>
        <w:pStyle w:val="Heading1"/>
      </w:pPr>
      <w:r>
        <w:t>7. Lens Five: Educator / Librarian</w:t>
      </w:r>
    </w:p>
    <w:tbl>
      <w:tblPr>
        <w:tblW w:type="auto" w:w="0"/>
        <w:jc w:val="center"/>
        <w:tblLayout w:type="autofit"/>
        <w:tblLook w:firstColumn="1" w:firstRow="1" w:lastColumn="0" w:lastRow="0" w:noHBand="0" w:noVBand="1" w:val="04A0"/>
      </w:tblPr>
      <w:tblGrid>
        <w:gridCol w:w="9936"/>
      </w:tblGrid>
      <w:tr>
        <w:tc>
          <w:tcPr>
            <w:tcW w:type="dxa" w:w="9936"/>
            <w:shd w:fill="F6F5ED"/>
            <w:tcMar>
              <w:top w:w="110" w:type="dxa"/>
              <w:start w:w="140" w:type="dxa"/>
              <w:bottom w:w="110" w:type="dxa"/>
              <w:end w:w="140" w:type="dxa"/>
            </w:tcMar>
            <w:tcBorders>
              <w:top w:val="single" w:sz="6" w:color="C5A15A"/>
              <w:left w:val="single" w:sz="6" w:color="C5A15A"/>
              <w:bottom w:val="single" w:sz="6" w:color="C5A15A"/>
              <w:right w:val="single" w:sz="6" w:color="C5A15A"/>
            </w:tcBorders>
          </w:tcPr>
          <w:p>
            <w:pPr>
              <w:spacing w:after="0"/>
            </w:pPr>
            <w:r>
              <w:rPr>
                <w:b/>
                <w:color w:val="40254B"/>
              </w:rPr>
              <w:t>VERDICT:</w:t>
            </w:r>
            <w:r>
              <w:rPr>
                <w:color w:val="2F2F2F"/>
              </w:rPr>
              <w:t xml:space="preserve"> GREEN / YELLOW PRELIMINARY SCREEN</w:t>
            </w:r>
          </w:p>
        </w:tc>
      </w:tr>
    </w:tbl>
    <w:p>
      <w:pPr>
        <w:pStyle w:val="Heading2"/>
      </w:pPr>
      <w:r>
        <w:t>School realism</w:t>
      </w:r>
    </w:p>
    <w:p>
      <w:r>
        <w:t>At architecture level, the fifth-grade world is plausible: gym, school nurse, counselor, group project, cafeteria/art table, health room, picture day, restroom, and peer group chat. Scene-level realism still needs an educator or librarian to test procedures, access, and classroom dynamics.</w:t>
      </w:r>
    </w:p>
    <w:p>
      <w:pPr>
        <w:pStyle w:val="Heading2"/>
      </w:pPr>
      <w:r>
        <w:t>Recommendation strengths</w:t>
      </w:r>
    </w:p>
    <w:p>
      <w:pPr>
        <w:pStyle w:val="ListBullet"/>
        <w:spacing w:after="60"/>
      </w:pPr>
      <w:r>
        <w:t>Protagonist-driven narrative rather than a puberty encyclopedia</w:t>
      </w:r>
    </w:p>
    <w:p>
      <w:pPr>
        <w:pStyle w:val="ListBullet"/>
        <w:spacing w:after="60"/>
      </w:pPr>
      <w:r>
        <w:t>Explicit anti-shame framing</w:t>
      </w:r>
    </w:p>
    <w:p>
      <w:pPr>
        <w:pStyle w:val="ListBullet"/>
        <w:spacing w:after="60"/>
      </w:pPr>
      <w:r>
        <w:t>Help-seeking and trusted-adult pathways</w:t>
      </w:r>
    </w:p>
    <w:p>
      <w:pPr>
        <w:pStyle w:val="ListBullet"/>
        <w:spacing w:after="60"/>
      </w:pPr>
      <w:r>
        <w:t>Boundaries and privacy</w:t>
      </w:r>
    </w:p>
    <w:p>
      <w:pPr>
        <w:pStyle w:val="ListBullet"/>
        <w:spacing w:after="60"/>
      </w:pPr>
      <w:r>
        <w:t>Friendship conflict and repair</w:t>
      </w:r>
    </w:p>
    <w:p>
      <w:pPr>
        <w:pStyle w:val="ListBullet"/>
        <w:spacing w:after="60"/>
      </w:pPr>
      <w:r>
        <w:t>Body-image discussion</w:t>
      </w:r>
    </w:p>
    <w:p>
      <w:pPr>
        <w:pStyle w:val="ListBullet"/>
        <w:spacing w:after="60"/>
      </w:pPr>
      <w:r>
        <w:t>Multiple supportive adults</w:t>
      </w:r>
    </w:p>
    <w:p>
      <w:pPr>
        <w:pStyle w:val="ListBullet"/>
        <w:spacing w:after="60"/>
      </w:pPr>
      <w:r>
        <w:t>Practical first-period preparation</w:t>
      </w:r>
    </w:p>
    <w:p>
      <w:pPr>
        <w:pStyle w:val="Heading2"/>
      </w:pPr>
      <w:r>
        <w:t>Likely easiest / hardest institutional fits</w:t>
      </w:r>
    </w:p>
    <w:p>
      <w:r>
        <w:t>Episodes 5 and 7 may have the broadest classroom applicability because boundaries and friendship conflict extend beyond puberty-specific instruction. Episodes 8 and 11 may be the most institutionally sensitive simply because menstruation is central to the plot. Institutional discomfort is not, by itself, evidence that the material is developmentally inappropriate.</w:t>
      </w:r>
    </w:p>
    <w:p>
      <w:pPr>
        <w:pStyle w:val="Heading1"/>
      </w:pPr>
      <w:r>
        <w:t>8. Story-vs-Lesson Test</w:t>
      </w:r>
    </w:p>
    <w:p>
      <w:r>
        <w:rPr>
          <w:b/>
          <w:color w:val="40254B"/>
        </w:rPr>
        <w:t xml:space="preserve">Mia's season want: </w:t>
      </w:r>
      <w:r>
        <w:t>Gain enough knowledge to control what puberty can do to her.</w:t>
      </w:r>
    </w:p>
    <w:p>
      <w:r>
        <w:rPr>
          <w:b/>
          <w:color w:val="40254B"/>
        </w:rPr>
        <w:t xml:space="preserve">Primary conflict: </w:t>
      </w:r>
      <w:r>
        <w:t>Bodies and people cannot be controlled through investigation. Solani has privacy; Mia's friends have separate opinions; puberty follows its own timeline; preparation reduces helplessness but cannot eliminate emotion.</w:t>
      </w:r>
    </w:p>
    <w:p>
      <w:r>
        <w:rPr>
          <w:b/>
          <w:color w:val="40254B"/>
        </w:rPr>
        <w:t xml:space="preserve">Major decisive choice: </w:t>
      </w:r>
      <w:r>
        <w:t>Episode 8: Mia can expose the clue and 'win' the case, but instead chooses to protect Solani.</w:t>
      </w:r>
    </w:p>
    <w:p>
      <w:r>
        <w:rPr>
          <w:b/>
          <w:color w:val="40254B"/>
        </w:rPr>
        <w:t xml:space="preserve">Final decisive choice: </w:t>
      </w:r>
      <w:r>
        <w:t>Episode 11: Mia can continue hiding to preserve the illusion of control, or use the kit and ask for help.</w:t>
      </w:r>
    </w:p>
    <w:p>
      <w:r>
        <w:rPr>
          <w:b/>
          <w:color w:val="40254B"/>
        </w:rPr>
        <w:t xml:space="preserve">Consequence: </w:t>
      </w:r>
      <w:r>
        <w:t>Her understanding of preparedness changes from control to support.</w:t>
      </w:r>
    </w:p>
    <w:tbl>
      <w:tblPr>
        <w:tblW w:type="auto" w:w="0"/>
        <w:jc w:val="center"/>
        <w:tblLayout w:type="autofit"/>
        <w:tblLook w:firstColumn="1" w:firstRow="1" w:lastColumn="0" w:lastRow="0" w:noHBand="0" w:noVBand="1" w:val="04A0"/>
      </w:tblPr>
      <w:tblGrid>
        <w:gridCol w:w="9936"/>
      </w:tblGrid>
      <w:tr>
        <w:tc>
          <w:tcPr>
            <w:tcW w:type="dxa" w:w="9936"/>
            <w:shd w:fill="F1F6F3"/>
            <w:tcMar>
              <w:top w:w="110" w:type="dxa"/>
              <w:start w:w="140" w:type="dxa"/>
              <w:bottom w:w="110" w:type="dxa"/>
              <w:end w:w="140" w:type="dxa"/>
            </w:tcMar>
            <w:tcBorders>
              <w:top w:val="single" w:sz="6" w:color="2F6B4F"/>
              <w:left w:val="single" w:sz="6" w:color="2F6B4F"/>
              <w:bottom w:val="single" w:sz="6" w:color="2F6B4F"/>
              <w:right w:val="single" w:sz="6" w:color="2F6B4F"/>
            </w:tcBorders>
          </w:tcPr>
          <w:p>
            <w:pPr>
              <w:spacing w:after="0"/>
            </w:pPr>
            <w:r>
              <w:rPr>
                <w:b/>
                <w:color w:val="40254B"/>
              </w:rPr>
              <w:t>PASS:</w:t>
            </w:r>
            <w:r>
              <w:rPr>
                <w:color w:val="2F2F2F"/>
              </w:rPr>
              <w:t xml:space="preserve"> If the stated puberty lesson disappeared from the pitch, a recognizable coming-of-age story would still remain — a child trying to control change by investigating her older sister, then discovering that knowledge does not give her control over people or life.</w:t>
            </w:r>
          </w:p>
        </w:tc>
      </w:tr>
    </w:tbl>
    <w:p>
      <w:r>
        <w:t>The message is most successfully dramatized in Episodes 5, 7, 8, and 11. It is at greatest risk of being explained in Episodes 2, 3, 6, 9, and 10 because those episodes naturally require factual context.</w:t>
      </w:r>
    </w:p>
    <w:p>
      <w:pPr>
        <w:pStyle w:val="Heading1"/>
      </w:pPr>
      <w:r>
        <w:t>9. Age 9–11 Check</w:t>
      </w:r>
    </w:p>
    <w:tbl>
      <w:tblPr>
        <w:tblW w:type="auto" w:w="0"/>
        <w:jc w:val="center"/>
        <w:tblLayout w:type="autofit"/>
        <w:tblLook w:firstColumn="1" w:firstRow="1" w:lastColumn="0" w:lastRow="0" w:noHBand="0" w:noVBand="1" w:val="04A0"/>
      </w:tblPr>
      <w:tblGrid>
        <w:gridCol w:w="9936"/>
      </w:tblGrid>
      <w:tr>
        <w:tc>
          <w:tcPr>
            <w:tcW w:type="dxa" w:w="9936"/>
            <w:shd w:fill="F1F6F3"/>
            <w:tcMar>
              <w:top w:w="110" w:type="dxa"/>
              <w:start w:w="140" w:type="dxa"/>
              <w:bottom w:w="110" w:type="dxa"/>
              <w:end w:w="140" w:type="dxa"/>
            </w:tcMar>
            <w:tcBorders>
              <w:top w:val="single" w:sz="6" w:color="2F6B4F"/>
              <w:left w:val="single" w:sz="6" w:color="2F6B4F"/>
              <w:bottom w:val="single" w:sz="6" w:color="2F6B4F"/>
              <w:right w:val="single" w:sz="6" w:color="2F6B4F"/>
            </w:tcBorders>
          </w:tcPr>
          <w:p>
            <w:pPr>
              <w:spacing w:after="0"/>
            </w:pPr>
            <w:r>
              <w:rPr>
                <w:b/>
                <w:color w:val="40254B"/>
              </w:rPr>
              <w:t>OVERALL:</w:t>
            </w:r>
            <w:r>
              <w:rPr>
                <w:color w:val="2F2F2F"/>
              </w:rPr>
              <w:t xml:space="preserve"> STRONG AGE-FIT AT ARCHITECTURE LEVEL</w:t>
            </w:r>
          </w:p>
        </w:tc>
      </w:tr>
    </w:tbl>
    <w:p>
      <w:r>
        <w:t>The cases are concrete and child-centered: chest tenderness during running, unexpected crying, picture-day anxiety, a closed bedroom door, smell panic, a friendship fight, a red stain, a backpack kit, a pimple, and a first period. This is considerably more accessible than organizing the story around abstract health-class concepts.</w:t>
      </w:r>
    </w:p>
    <w:p>
      <w:pPr>
        <w:pStyle w:val="Heading2"/>
      </w:pPr>
      <w:r>
        <w:t>Needs careful scaffolding</w:t>
      </w:r>
    </w:p>
    <w:p>
      <w:pPr>
        <w:pStyle w:val="ListBullet"/>
        <w:spacing w:after="60"/>
      </w:pPr>
      <w:r>
        <w:t>Simple explanation of where period blood comes from</w:t>
      </w:r>
    </w:p>
    <w:p>
      <w:pPr>
        <w:pStyle w:val="ListBullet"/>
        <w:spacing w:after="60"/>
      </w:pPr>
      <w:r>
        <w:t>The distinction between deodorant and antiperspirant</w:t>
      </w:r>
    </w:p>
    <w:p>
      <w:pPr>
        <w:pStyle w:val="ListBullet"/>
        <w:spacing w:after="60"/>
      </w:pPr>
      <w:r>
        <w:t>Skin irritation / post-inflammatory mark language</w:t>
      </w:r>
    </w:p>
    <w:p>
      <w:pPr>
        <w:pStyle w:val="ListBullet"/>
        <w:spacing w:after="60"/>
      </w:pPr>
      <w:r>
        <w:t>When a child should tell an adult or clinician about a concern</w:t>
      </w:r>
    </w:p>
    <w:p>
      <w:pPr>
        <w:pStyle w:val="Heading2"/>
      </w:pPr>
      <w:r>
        <w:t>Could feel too adult if mishandled</w:t>
      </w:r>
    </w:p>
    <w:p>
      <w:pPr>
        <w:pStyle w:val="ListBullet"/>
        <w:spacing w:after="60"/>
      </w:pPr>
      <w:r>
        <w:t>Body-image material should stay rooted in Mia's picture-day and comparison experience rather than importing adult beauty discourse.</w:t>
      </w:r>
    </w:p>
    <w:p>
      <w:pPr>
        <w:pStyle w:val="ListBullet"/>
        <w:spacing w:after="60"/>
      </w:pPr>
      <w:r>
        <w:t>Boundaries should remain concrete and relationship-based.</w:t>
      </w:r>
    </w:p>
    <w:p>
      <w:pPr>
        <w:pStyle w:val="ListBullet"/>
        <w:spacing w:after="60"/>
      </w:pPr>
      <w:r>
        <w:t>Period preparation should remain practical rather than turning Mia into a miniature health educator.</w:t>
      </w:r>
    </w:p>
    <w:p>
      <w:pPr>
        <w:pStyle w:val="Heading2"/>
      </w:pPr>
      <w:r>
        <w:t>Could feel too young if mishandled</w:t>
      </w:r>
    </w:p>
    <w:p>
      <w:r>
        <w:t>The alien/update/fragrance jokes currently work because the fears beneath them are taken seriously. If every episode uses an exaggerated goofy theory, older readers in the 10–11 range may begin to feel that the story is laughing at ignorance rather than laughing with Mia. Breaking the formula in Episodes 8 and 11 is therefore important.</w:t>
      </w:r>
    </w:p>
    <w:p>
      <w:pPr>
        <w:pStyle w:val="Heading1"/>
      </w:pPr>
      <w:r>
        <w:t>10. Representation Questions for Human Review</w:t>
      </w:r>
    </w:p>
    <w:p>
      <w:pPr>
        <w:pStyle w:val="ListNumber"/>
        <w:spacing w:after="60"/>
      </w:pPr>
      <w:r>
        <w:t>Does Mia feel like a specific Black ten-year-old girl with a life, rather than a generally written tween whose identity has been layered onto the concept?</w:t>
      </w:r>
    </w:p>
    <w:p>
      <w:pPr>
        <w:pStyle w:val="ListNumber"/>
        <w:spacing w:after="60"/>
      </w:pPr>
      <w:r>
        <w:t>Do Brenda, Marcus, Mema, Solani, and the other Black adults/girls feel individually distinct, or does anyone start functioning primarily as a cultural or educational symbol?</w:t>
      </w:r>
    </w:p>
    <w:p>
      <w:pPr>
        <w:pStyle w:val="ListNumber"/>
        <w:spacing w:after="60"/>
      </w:pPr>
      <w:r>
        <w:t>Are there places where more ordinary lived particularity would deepen the world naturally, without inserting references simply to prove the story is culturally specific?</w:t>
      </w:r>
    </w:p>
    <w:p>
      <w:pPr>
        <w:pStyle w:val="ListNumber"/>
        <w:spacing w:after="60"/>
      </w:pPr>
      <w:r>
        <w:t>Does Episode 8 protect Solani's dignity strongly enough from the moment the clothing appears through Mia's response?</w:t>
      </w:r>
    </w:p>
    <w:p>
      <w:pPr>
        <w:pStyle w:val="ListNumber"/>
        <w:spacing w:after="60"/>
      </w:pPr>
      <w:r>
        <w:t>Does the story allow Mia and the other Black girls enough silliness, messiness, irritation, vulnerability, and ordinary kid behavior without forcing them to be exemplary?</w:t>
      </w:r>
    </w:p>
    <w:p>
      <w:pPr>
        <w:pStyle w:val="Heading1"/>
      </w:pPr>
      <w:r>
        <w:t>11. Prioritized Revision / Validation Plan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5A3568"/>
            <w:tcMar>
              <w:top w:w="80" w:type="dxa"/>
              <w:start w:w="90" w:type="dxa"/>
              <w:bottom w:w="80" w:type="dxa"/>
              <w:end w:w="90" w:type="dxa"/>
            </w:tcMar>
          </w:tcPr>
          <w:p>
            <w:r>
              <w:rPr>
                <w:b/>
                <w:color w:val="FFFFFF"/>
                <w:sz w:val="17"/>
              </w:rPr>
              <w:t>Priority</w:t>
            </w:r>
          </w:p>
        </w:tc>
        <w:tc>
          <w:tcPr>
            <w:tcW w:type="dxa" w:w="2484"/>
            <w:shd w:fill="5A3568"/>
            <w:tcMar>
              <w:top w:w="80" w:type="dxa"/>
              <w:start w:w="90" w:type="dxa"/>
              <w:bottom w:w="80" w:type="dxa"/>
              <w:end w:w="90" w:type="dxa"/>
            </w:tcMar>
          </w:tcPr>
          <w:p>
            <w:r>
              <w:rPr>
                <w:b/>
                <w:color w:val="FFFFFF"/>
                <w:sz w:val="17"/>
              </w:rPr>
              <w:t>Action</w:t>
            </w:r>
          </w:p>
        </w:tc>
        <w:tc>
          <w:tcPr>
            <w:tcW w:type="dxa" w:w="2484"/>
            <w:shd w:fill="5A3568"/>
            <w:tcMar>
              <w:top w:w="80" w:type="dxa"/>
              <w:start w:w="90" w:type="dxa"/>
              <w:bottom w:w="80" w:type="dxa"/>
              <w:end w:w="90" w:type="dxa"/>
            </w:tcMar>
          </w:tcPr>
          <w:p>
            <w:r>
              <w:rPr>
                <w:b/>
                <w:color w:val="FFFFFF"/>
                <w:sz w:val="17"/>
              </w:rPr>
              <w:t>Benefit</w:t>
            </w:r>
          </w:p>
        </w:tc>
        <w:tc>
          <w:tcPr>
            <w:tcW w:type="dxa" w:w="2484"/>
            <w:shd w:fill="5A3568"/>
            <w:tcMar>
              <w:top w:w="80" w:type="dxa"/>
              <w:start w:w="90" w:type="dxa"/>
              <w:bottom w:w="80" w:type="dxa"/>
              <w:end w:w="90" w:type="dxa"/>
            </w:tcMar>
          </w:tcPr>
          <w:p>
            <w:r>
              <w:rPr>
                <w:b/>
                <w:color w:val="FFFFFF"/>
                <w:sz w:val="17"/>
              </w:rPr>
              <w:t>Tradeoff</w:t>
            </w:r>
          </w:p>
        </w:tc>
      </w:tr>
      <w:tr>
        <w:tc>
          <w:tcPr>
            <w:tcW w:type="dxa" w:w="2484"/>
            <w:tcMar>
              <w:top w:w="65" w:type="dxa"/>
              <w:start w:w="70" w:type="dxa"/>
              <w:bottom w:w="65" w:type="dxa"/>
              <w:end w:w="70" w:type="dxa"/>
            </w:tcMar>
            <w:shd w:fill="F8E8E8"/>
          </w:tcPr>
          <w:p>
            <w:pPr>
              <w:spacing w:after="0"/>
            </w:pPr>
            <w:r>
              <w:rPr>
                <w:sz w:val="16"/>
              </w:rPr>
              <w:t>MUST ADDRESS</w:t>
            </w:r>
          </w:p>
        </w:tc>
        <w:tc>
          <w:tcPr>
            <w:tcW w:type="dxa" w:w="2484"/>
            <w:tcMar>
              <w:top w:w="65" w:type="dxa"/>
              <w:start w:w="70" w:type="dxa"/>
              <w:bottom w:w="65" w:type="dxa"/>
              <w:end w:w="70" w:type="dxa"/>
            </w:tcMar>
          </w:tcPr>
          <w:p>
            <w:pPr>
              <w:spacing w:after="0"/>
            </w:pPr>
            <w:r>
              <w:rPr>
                <w:sz w:val="16"/>
              </w:rPr>
              <w:t>Create the clinician claim sheet from the extracted claims and reduce it to the highest-value 3–5 questions.</w:t>
            </w:r>
          </w:p>
        </w:tc>
        <w:tc>
          <w:tcPr>
            <w:tcW w:type="dxa" w:w="2484"/>
            <w:tcMar>
              <w:top w:w="65" w:type="dxa"/>
              <w:start w:w="70" w:type="dxa"/>
              <w:bottom w:w="65" w:type="dxa"/>
              <w:end w:w="70" w:type="dxa"/>
            </w:tcMar>
          </w:tcPr>
          <w:p>
            <w:pPr>
              <w:spacing w:after="0"/>
            </w:pPr>
            <w:r>
              <w:rPr>
                <w:sz w:val="16"/>
              </w:rPr>
              <w:t>Prevents medical assumptions from hardening into prose.</w:t>
            </w:r>
          </w:p>
        </w:tc>
        <w:tc>
          <w:tcPr>
            <w:tcW w:type="dxa" w:w="2484"/>
            <w:tcMar>
              <w:top w:w="65" w:type="dxa"/>
              <w:start w:w="70" w:type="dxa"/>
              <w:bottom w:w="65" w:type="dxa"/>
              <w:end w:w="70" w:type="dxa"/>
            </w:tcMar>
          </w:tcPr>
          <w:p>
            <w:pPr>
              <w:spacing w:after="0"/>
            </w:pPr>
            <w:r>
              <w:rPr>
                <w:sz w:val="16"/>
              </w:rPr>
              <w:t>Clinician feedback may require wording or scene changes later.</w:t>
            </w:r>
          </w:p>
        </w:tc>
      </w:tr>
      <w:tr>
        <w:tc>
          <w:tcPr>
            <w:tcW w:type="dxa" w:w="2484"/>
            <w:tcMar>
              <w:top w:w="65" w:type="dxa"/>
              <w:start w:w="70" w:type="dxa"/>
              <w:bottom w:w="65" w:type="dxa"/>
              <w:end w:w="70" w:type="dxa"/>
            </w:tcMar>
            <w:shd w:fill="FFF4DA"/>
          </w:tcPr>
          <w:p>
            <w:pPr>
              <w:spacing w:after="0"/>
            </w:pPr>
            <w:r>
              <w:rPr>
                <w:sz w:val="16"/>
              </w:rPr>
              <w:t>SHOULD ADDRESS</w:t>
            </w:r>
          </w:p>
        </w:tc>
        <w:tc>
          <w:tcPr>
            <w:tcW w:type="dxa" w:w="2484"/>
            <w:tcMar>
              <w:top w:w="65" w:type="dxa"/>
              <w:start w:w="70" w:type="dxa"/>
              <w:bottom w:w="65" w:type="dxa"/>
              <w:end w:w="70" w:type="dxa"/>
            </w:tcMar>
          </w:tcPr>
          <w:p>
            <w:pPr>
              <w:spacing w:after="0"/>
            </w:pPr>
            <w:r>
              <w:rPr>
                <w:sz w:val="16"/>
              </w:rPr>
              <w:t>Protect Mia's agency in Episodes 2 and 6 when detailed packets are built.</w:t>
            </w:r>
          </w:p>
        </w:tc>
        <w:tc>
          <w:tcPr>
            <w:tcW w:type="dxa" w:w="2484"/>
            <w:tcMar>
              <w:top w:w="65" w:type="dxa"/>
              <w:start w:w="70" w:type="dxa"/>
              <w:bottom w:w="65" w:type="dxa"/>
              <w:end w:w="70" w:type="dxa"/>
            </w:tcMar>
          </w:tcPr>
          <w:p>
            <w:pPr>
              <w:spacing w:after="0"/>
            </w:pPr>
            <w:r>
              <w:rPr>
                <w:sz w:val="16"/>
              </w:rPr>
              <w:t>Prevents the adult-explanation formula.</w:t>
            </w:r>
          </w:p>
        </w:tc>
        <w:tc>
          <w:tcPr>
            <w:tcW w:type="dxa" w:w="2484"/>
            <w:tcMar>
              <w:top w:w="65" w:type="dxa"/>
              <w:start w:w="70" w:type="dxa"/>
              <w:bottom w:w="65" w:type="dxa"/>
              <w:end w:w="70" w:type="dxa"/>
            </w:tcMar>
          </w:tcPr>
          <w:p>
            <w:pPr>
              <w:spacing w:after="0"/>
            </w:pPr>
            <w:r>
              <w:rPr>
                <w:sz w:val="16"/>
              </w:rPr>
              <w:t>May require an additional consequence or choice beat.</w:t>
            </w:r>
          </w:p>
        </w:tc>
      </w:tr>
      <w:tr>
        <w:tc>
          <w:tcPr>
            <w:tcW w:type="dxa" w:w="2484"/>
            <w:tcMar>
              <w:top w:w="65" w:type="dxa"/>
              <w:start w:w="70" w:type="dxa"/>
              <w:bottom w:w="65" w:type="dxa"/>
              <w:end w:w="70" w:type="dxa"/>
            </w:tcMar>
            <w:shd w:fill="FFF4DA"/>
          </w:tcPr>
          <w:p>
            <w:pPr>
              <w:spacing w:after="0"/>
            </w:pPr>
            <w:r>
              <w:rPr>
                <w:sz w:val="16"/>
              </w:rPr>
              <w:t>SHOULD ADDRESS</w:t>
            </w:r>
          </w:p>
        </w:tc>
        <w:tc>
          <w:tcPr>
            <w:tcW w:type="dxa" w:w="2484"/>
            <w:tcMar>
              <w:top w:w="65" w:type="dxa"/>
              <w:start w:w="70" w:type="dxa"/>
              <w:bottom w:w="65" w:type="dxa"/>
              <w:end w:w="70" w:type="dxa"/>
            </w:tcMar>
          </w:tcPr>
          <w:p>
            <w:pPr>
              <w:spacing w:after="0"/>
            </w:pPr>
            <w:r>
              <w:rPr>
                <w:sz w:val="16"/>
              </w:rPr>
              <w:t>Test Episode 8 independently with a caregiver and a lived-experience reader.</w:t>
            </w:r>
          </w:p>
        </w:tc>
        <w:tc>
          <w:tcPr>
            <w:tcW w:type="dxa" w:w="2484"/>
            <w:tcMar>
              <w:top w:w="65" w:type="dxa"/>
              <w:start w:w="70" w:type="dxa"/>
              <w:bottom w:w="65" w:type="dxa"/>
              <w:end w:w="70" w:type="dxa"/>
            </w:tcMar>
          </w:tcPr>
          <w:p>
            <w:pPr>
              <w:spacing w:after="0"/>
            </w:pPr>
            <w:r>
              <w:rPr>
                <w:sz w:val="16"/>
              </w:rPr>
              <w:t>Targets the highest dignity/trust sensitivity.</w:t>
            </w:r>
          </w:p>
        </w:tc>
        <w:tc>
          <w:tcPr>
            <w:tcW w:type="dxa" w:w="2484"/>
            <w:tcMar>
              <w:top w:w="65" w:type="dxa"/>
              <w:start w:w="70" w:type="dxa"/>
              <w:bottom w:w="65" w:type="dxa"/>
              <w:end w:w="70" w:type="dxa"/>
            </w:tcMar>
          </w:tcPr>
          <w:p>
            <w:pPr>
              <w:spacing w:after="0"/>
            </w:pPr>
            <w:r>
              <w:rPr>
                <w:sz w:val="16"/>
              </w:rPr>
              <w:t>Different reviewers may legitimately disagree.</w:t>
            </w:r>
          </w:p>
        </w:tc>
      </w:tr>
      <w:tr>
        <w:tc>
          <w:tcPr>
            <w:tcW w:type="dxa" w:w="2484"/>
            <w:tcMar>
              <w:top w:w="65" w:type="dxa"/>
              <w:start w:w="70" w:type="dxa"/>
              <w:bottom w:w="65" w:type="dxa"/>
              <w:end w:w="70" w:type="dxa"/>
            </w:tcMar>
            <w:shd w:fill="FFF4DA"/>
          </w:tcPr>
          <w:p>
            <w:pPr>
              <w:spacing w:after="0"/>
            </w:pPr>
            <w:r>
              <w:rPr>
                <w:sz w:val="16"/>
              </w:rPr>
              <w:t>SHOULD ADDRESS</w:t>
            </w:r>
          </w:p>
        </w:tc>
        <w:tc>
          <w:tcPr>
            <w:tcW w:type="dxa" w:w="2484"/>
            <w:tcMar>
              <w:top w:w="65" w:type="dxa"/>
              <w:start w:w="70" w:type="dxa"/>
              <w:bottom w:w="65" w:type="dxa"/>
              <w:end w:w="70" w:type="dxa"/>
            </w:tcMar>
          </w:tcPr>
          <w:p>
            <w:pPr>
              <w:spacing w:after="0"/>
            </w:pPr>
            <w:r>
              <w:rPr>
                <w:sz w:val="16"/>
              </w:rPr>
              <w:t>Make cultural particularity a deliberate Book Factory / world-bible requirement.</w:t>
            </w:r>
          </w:p>
        </w:tc>
        <w:tc>
          <w:tcPr>
            <w:tcW w:type="dxa" w:w="2484"/>
            <w:tcMar>
              <w:top w:w="65" w:type="dxa"/>
              <w:start w:w="70" w:type="dxa"/>
              <w:bottom w:w="65" w:type="dxa"/>
              <w:end w:w="70" w:type="dxa"/>
            </w:tcMar>
          </w:tcPr>
          <w:p>
            <w:pPr>
              <w:spacing w:after="0"/>
            </w:pPr>
            <w:r>
              <w:rPr>
                <w:sz w:val="16"/>
              </w:rPr>
              <w:t>Helps the culturally affirming promise become visible on the page.</w:t>
            </w:r>
          </w:p>
        </w:tc>
        <w:tc>
          <w:tcPr>
            <w:tcW w:type="dxa" w:w="2484"/>
            <w:tcMar>
              <w:top w:w="65" w:type="dxa"/>
              <w:start w:w="70" w:type="dxa"/>
              <w:bottom w:w="65" w:type="dxa"/>
              <w:end w:w="70" w:type="dxa"/>
            </w:tcMar>
          </w:tcPr>
          <w:p>
            <w:pPr>
              <w:spacing w:after="0"/>
            </w:pPr>
            <w:r>
              <w:rPr>
                <w:sz w:val="16"/>
              </w:rPr>
              <w:t>Must avoid decorative specificity.</w:t>
            </w:r>
          </w:p>
        </w:tc>
      </w:tr>
      <w:tr>
        <w:tc>
          <w:tcPr>
            <w:tcW w:type="dxa" w:w="2484"/>
            <w:tcMar>
              <w:top w:w="65" w:type="dxa"/>
              <w:start w:w="70" w:type="dxa"/>
              <w:bottom w:w="65" w:type="dxa"/>
              <w:end w:w="70" w:type="dxa"/>
            </w:tcMar>
            <w:shd w:fill="FFF4DA"/>
          </w:tcPr>
          <w:p>
            <w:pPr>
              <w:spacing w:after="0"/>
            </w:pPr>
            <w:r>
              <w:rPr>
                <w:sz w:val="16"/>
              </w:rPr>
              <w:t>SHOULD ADDRESS</w:t>
            </w:r>
          </w:p>
        </w:tc>
        <w:tc>
          <w:tcPr>
            <w:tcW w:type="dxa" w:w="2484"/>
            <w:tcMar>
              <w:top w:w="65" w:type="dxa"/>
              <w:start w:w="70" w:type="dxa"/>
              <w:bottom w:w="65" w:type="dxa"/>
              <w:end w:w="70" w:type="dxa"/>
            </w:tcMar>
          </w:tcPr>
          <w:p>
            <w:pPr>
              <w:spacing w:after="0"/>
            </w:pPr>
            <w:r>
              <w:rPr>
                <w:sz w:val="16"/>
              </w:rPr>
              <w:t>Child-test humor and instructional drag once representative scenes exist.</w:t>
            </w:r>
          </w:p>
        </w:tc>
        <w:tc>
          <w:tcPr>
            <w:tcW w:type="dxa" w:w="2484"/>
            <w:tcMar>
              <w:top w:w="65" w:type="dxa"/>
              <w:start w:w="70" w:type="dxa"/>
              <w:bottom w:w="65" w:type="dxa"/>
              <w:end w:w="70" w:type="dxa"/>
            </w:tcMar>
          </w:tcPr>
          <w:p>
            <w:pPr>
              <w:spacing w:after="0"/>
            </w:pPr>
            <w:r>
              <w:rPr>
                <w:sz w:val="16"/>
              </w:rPr>
              <w:t>Adults cannot accurately predict where children disengage.</w:t>
            </w:r>
          </w:p>
        </w:tc>
        <w:tc>
          <w:tcPr>
            <w:tcW w:type="dxa" w:w="2484"/>
            <w:tcMar>
              <w:top w:w="65" w:type="dxa"/>
              <w:start w:w="70" w:type="dxa"/>
              <w:bottom w:w="65" w:type="dxa"/>
              <w:end w:w="70" w:type="dxa"/>
            </w:tcMar>
          </w:tcPr>
          <w:p>
            <w:pPr>
              <w:spacing w:after="0"/>
            </w:pPr>
            <w:r>
              <w:rPr>
                <w:sz w:val="16"/>
              </w:rPr>
              <w:t>Requires sample prose first.</w:t>
            </w:r>
          </w:p>
        </w:tc>
      </w:tr>
      <w:tr>
        <w:tc>
          <w:tcPr>
            <w:tcW w:type="dxa" w:w="2484"/>
            <w:tcMar>
              <w:top w:w="65" w:type="dxa"/>
              <w:start w:w="70" w:type="dxa"/>
              <w:bottom w:w="65" w:type="dxa"/>
              <w:end w:w="70" w:type="dxa"/>
            </w:tcMar>
            <w:shd w:fill="F0F0F0"/>
          </w:tcPr>
          <w:p>
            <w:pPr>
              <w:spacing w:after="0"/>
            </w:pPr>
            <w:r>
              <w:rPr>
                <w:sz w:val="16"/>
              </w:rPr>
              <w:t>OPTIONAL</w:t>
            </w:r>
          </w:p>
        </w:tc>
        <w:tc>
          <w:tcPr>
            <w:tcW w:type="dxa" w:w="2484"/>
            <w:tcMar>
              <w:top w:w="65" w:type="dxa"/>
              <w:start w:w="70" w:type="dxa"/>
              <w:bottom w:w="65" w:type="dxa"/>
              <w:end w:w="70" w:type="dxa"/>
            </w:tcMar>
          </w:tcPr>
          <w:p>
            <w:pPr>
              <w:spacing w:after="0"/>
            </w:pPr>
            <w:r>
              <w:rPr>
                <w:sz w:val="16"/>
              </w:rPr>
              <w:t>Have an educator/librarian test school procedures and shelf/classroom usability.</w:t>
            </w:r>
          </w:p>
        </w:tc>
        <w:tc>
          <w:tcPr>
            <w:tcW w:type="dxa" w:w="2484"/>
            <w:tcMar>
              <w:top w:w="65" w:type="dxa"/>
              <w:start w:w="70" w:type="dxa"/>
              <w:bottom w:w="65" w:type="dxa"/>
              <w:end w:w="70" w:type="dxa"/>
            </w:tcMar>
          </w:tcPr>
          <w:p>
            <w:pPr>
              <w:spacing w:after="0"/>
            </w:pPr>
            <w:r>
              <w:rPr>
                <w:sz w:val="16"/>
              </w:rPr>
              <w:t>Improves institutional usefulness.</w:t>
            </w:r>
          </w:p>
        </w:tc>
        <w:tc>
          <w:tcPr>
            <w:tcW w:type="dxa" w:w="2484"/>
            <w:tcMar>
              <w:top w:w="65" w:type="dxa"/>
              <w:start w:w="70" w:type="dxa"/>
              <w:bottom w:w="65" w:type="dxa"/>
              <w:end w:w="70" w:type="dxa"/>
            </w:tcMar>
          </w:tcPr>
          <w:p>
            <w:pPr>
              <w:spacing w:after="0"/>
            </w:pPr>
            <w:r>
              <w:rPr>
                <w:sz w:val="16"/>
              </w:rPr>
              <w:t>Not necessary to determine whether the story itself works.</w:t>
            </w:r>
          </w:p>
        </w:tc>
      </w:tr>
      <w:tr>
        <w:tc>
          <w:tcPr>
            <w:tcW w:type="dxa" w:w="2484"/>
            <w:tcMar>
              <w:top w:w="65" w:type="dxa"/>
              <w:start w:w="70" w:type="dxa"/>
              <w:bottom w:w="65" w:type="dxa"/>
              <w:end w:w="70" w:type="dxa"/>
            </w:tcMar>
            <w:shd w:fill="F0F0F0"/>
          </w:tcPr>
          <w:p>
            <w:pPr>
              <w:spacing w:after="0"/>
            </w:pPr>
            <w:r>
              <w:rPr>
                <w:sz w:val="16"/>
              </w:rPr>
              <w:t>OPTIONAL</w:t>
            </w:r>
          </w:p>
        </w:tc>
        <w:tc>
          <w:tcPr>
            <w:tcW w:type="dxa" w:w="2484"/>
            <w:tcMar>
              <w:top w:w="65" w:type="dxa"/>
              <w:start w:w="70" w:type="dxa"/>
              <w:bottom w:w="65" w:type="dxa"/>
              <w:end w:w="70" w:type="dxa"/>
            </w:tcMar>
          </w:tcPr>
          <w:p>
            <w:pPr>
              <w:spacing w:after="0"/>
            </w:pPr>
            <w:r>
              <w:rPr>
                <w:sz w:val="16"/>
              </w:rPr>
              <w:t>Track the Operation Sisterwatch case status across detailed episode packets.</w:t>
            </w:r>
          </w:p>
        </w:tc>
        <w:tc>
          <w:tcPr>
            <w:tcW w:type="dxa" w:w="2484"/>
            <w:tcMar>
              <w:top w:w="65" w:type="dxa"/>
              <w:start w:w="70" w:type="dxa"/>
              <w:bottom w:w="65" w:type="dxa"/>
              <w:end w:w="70" w:type="dxa"/>
            </w:tcMar>
          </w:tcPr>
          <w:p>
            <w:pPr>
              <w:spacing w:after="0"/>
            </w:pPr>
            <w:r>
              <w:rPr>
                <w:sz w:val="16"/>
              </w:rPr>
              <w:t>Reinforces the season-long investigation identity.</w:t>
            </w:r>
          </w:p>
        </w:tc>
        <w:tc>
          <w:tcPr>
            <w:tcW w:type="dxa" w:w="2484"/>
            <w:tcMar>
              <w:top w:w="65" w:type="dxa"/>
              <w:start w:w="70" w:type="dxa"/>
              <w:bottom w:w="65" w:type="dxa"/>
              <w:end w:w="70" w:type="dxa"/>
            </w:tcMar>
          </w:tcPr>
          <w:p>
            <w:pPr>
              <w:spacing w:after="0"/>
            </w:pPr>
            <w:r>
              <w:rPr>
                <w:sz w:val="16"/>
              </w:rPr>
              <w:t>Overuse could make the structure feel mechanical.</w:t>
            </w:r>
          </w:p>
        </w:tc>
      </w:tr>
    </w:tbl>
    <w:p>
      <w:pPr>
        <w:pStyle w:val="Heading1"/>
      </w:pPr>
      <w:r>
        <w:t>12. Disagreement Map</w:t>
      </w:r>
    </w:p>
    <w:p>
      <w:r>
        <w:rPr>
          <w:b/>
          <w:color w:val="40254B"/>
        </w:rPr>
        <w:t xml:space="preserve">Caregiver vs. child: </w:t>
      </w:r>
      <w:r>
        <w:t>A caregiver may love the amount of reassurance while a child finds a truth-giver scene slow. Child engagement should govern pacing; caregiver trust should govern whether essential support is clear.</w:t>
      </w:r>
    </w:p>
    <w:p>
      <w:r>
        <w:rPr>
          <w:b/>
          <w:color w:val="40254B"/>
        </w:rPr>
        <w:t xml:space="preserve">Story vs. medical: </w:t>
      </w:r>
      <w:r>
        <w:t>Craft may prefer a clean dramatic explanation while a clinician requires nuance. Medical accuracy governs the factual claim; craft must then make the accurate version readable.</w:t>
      </w:r>
    </w:p>
    <w:p>
      <w:r>
        <w:rPr>
          <w:b/>
          <w:color w:val="40254B"/>
        </w:rPr>
        <w:t xml:space="preserve">Dignity vs. comedy: </w:t>
      </w:r>
      <w:r>
        <w:t>Episode 8 could become funnier through public misunderstanding, but that would directly undermine the privacy arc. Dignity should win there.</w:t>
      </w:r>
    </w:p>
    <w:p>
      <w:r>
        <w:rPr>
          <w:b/>
          <w:color w:val="40254B"/>
        </w:rPr>
        <w:t xml:space="preserve">Educator comfort vs. intended-reader need: </w:t>
      </w:r>
      <w:r>
        <w:t>Some institutions may be uncomfortable with menstruation content. Institutional discomfort alone does not establish that the episode is developmentally wrong.</w:t>
      </w:r>
    </w:p>
    <w:p>
      <w:r>
        <w:rPr>
          <w:b/>
          <w:color w:val="40254B"/>
        </w:rPr>
        <w:t xml:space="preserve">Caregiver vs. Episode 11 timing: </w:t>
      </w:r>
      <w:r>
        <w:t>A caregiver may feel ten is young for a first period. The story already frames Mia as one child's timeline rather than a prediction for the reader; a clinician should settle plausibility while the caregiver tests narrative reassurance.</w:t>
      </w:r>
    </w:p>
    <w:p>
      <w:pPr>
        <w:pStyle w:val="Heading1"/>
      </w:pPr>
      <w:r>
        <w:t>13. Scorecard &amp; Final Verdict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5A3568"/>
            <w:tcMar>
              <w:top w:w="80" w:type="dxa"/>
              <w:start w:w="90" w:type="dxa"/>
              <w:bottom w:w="80" w:type="dxa"/>
              <w:end w:w="90" w:type="dxa"/>
            </w:tcMar>
          </w:tcPr>
          <w:p>
            <w:r>
              <w:rPr>
                <w:b/>
                <w:color w:val="FFFFFF"/>
                <w:sz w:val="18"/>
              </w:rPr>
              <w:t>Criterion</w:t>
            </w:r>
          </w:p>
        </w:tc>
        <w:tc>
          <w:tcPr>
            <w:tcW w:type="dxa" w:w="3312"/>
            <w:shd w:fill="5A3568"/>
            <w:tcMar>
              <w:top w:w="80" w:type="dxa"/>
              <w:start w:w="90" w:type="dxa"/>
              <w:bottom w:w="80" w:type="dxa"/>
              <w:end w:w="90" w:type="dxa"/>
            </w:tcMar>
          </w:tcPr>
          <w:p>
            <w:r>
              <w:rPr>
                <w:b/>
                <w:color w:val="FFFFFF"/>
                <w:sz w:val="18"/>
              </w:rPr>
              <w:t>Score</w:t>
            </w:r>
          </w:p>
        </w:tc>
        <w:tc>
          <w:tcPr>
            <w:tcW w:type="dxa" w:w="3312"/>
            <w:shd w:fill="5A3568"/>
            <w:tcMar>
              <w:top w:w="80" w:type="dxa"/>
              <w:start w:w="90" w:type="dxa"/>
              <w:bottom w:w="80" w:type="dxa"/>
              <w:end w:w="90" w:type="dxa"/>
            </w:tcMar>
          </w:tcPr>
          <w:p>
            <w:r>
              <w:rPr>
                <w:b/>
                <w:color w:val="FFFFFF"/>
                <w:sz w:val="18"/>
              </w:rPr>
              <w:t>Rationale</w:t>
            </w:r>
          </w:p>
        </w:tc>
      </w:tr>
      <w:tr>
        <w:tc>
          <w:tcPr>
            <w:tcW w:type="dxa" w:w="3312"/>
            <w:tcMar>
              <w:top w:w="80" w:type="dxa"/>
              <w:start w:w="90" w:type="dxa"/>
              <w:bottom w:w="80" w:type="dxa"/>
              <w:end w:w="90" w:type="dxa"/>
            </w:tcMar>
          </w:tcPr>
          <w:p>
            <w:pPr>
              <w:spacing w:after="0"/>
            </w:pPr>
            <w:r>
              <w:rPr>
                <w:sz w:val="17"/>
              </w:rPr>
              <w:t>Story engine</w:t>
            </w:r>
          </w:p>
        </w:tc>
        <w:tc>
          <w:tcPr>
            <w:tcW w:type="dxa" w:w="3312"/>
            <w:tcMar>
              <w:top w:w="80" w:type="dxa"/>
              <w:start w:w="90" w:type="dxa"/>
              <w:bottom w:w="80" w:type="dxa"/>
              <w:end w:w="90" w:type="dxa"/>
            </w:tcMar>
          </w:tcPr>
          <w:p>
            <w:pPr>
              <w:spacing w:after="0"/>
              <w:jc w:val="center"/>
            </w:pPr>
            <w:r>
              <w:rPr>
                <w:sz w:val="17"/>
              </w:rPr>
              <w:t>4/5</w:t>
            </w:r>
          </w:p>
        </w:tc>
        <w:tc>
          <w:tcPr>
            <w:tcW w:type="dxa" w:w="3312"/>
            <w:tcMar>
              <w:top w:w="80" w:type="dxa"/>
              <w:start w:w="90" w:type="dxa"/>
              <w:bottom w:w="80" w:type="dxa"/>
              <w:end w:w="90" w:type="dxa"/>
            </w:tcMar>
          </w:tcPr>
          <w:p>
            <w:pPr>
              <w:spacing w:after="0"/>
            </w:pPr>
            <w:r>
              <w:rPr>
                <w:sz w:val="17"/>
              </w:rPr>
              <w:t>Strong control/investigation spine; keep it visible between stand-alone cases.</w:t>
            </w:r>
          </w:p>
        </w:tc>
      </w:tr>
      <w:tr>
        <w:tc>
          <w:tcPr>
            <w:tcW w:type="dxa" w:w="3312"/>
            <w:tcMar>
              <w:top w:w="80" w:type="dxa"/>
              <w:start w:w="90" w:type="dxa"/>
              <w:bottom w:w="80" w:type="dxa"/>
              <w:end w:w="90" w:type="dxa"/>
            </w:tcMar>
          </w:tcPr>
          <w:p>
            <w:pPr>
              <w:spacing w:after="0"/>
            </w:pPr>
            <w:r>
              <w:rPr>
                <w:sz w:val="17"/>
              </w:rPr>
              <w:t>Pacing &amp; escalation</w:t>
            </w:r>
          </w:p>
        </w:tc>
        <w:tc>
          <w:tcPr>
            <w:tcW w:type="dxa" w:w="3312"/>
            <w:tcMar>
              <w:top w:w="80" w:type="dxa"/>
              <w:start w:w="90" w:type="dxa"/>
              <w:bottom w:w="80" w:type="dxa"/>
              <w:end w:w="90" w:type="dxa"/>
            </w:tcMar>
          </w:tcPr>
          <w:p>
            <w:pPr>
              <w:spacing w:after="0"/>
              <w:jc w:val="center"/>
            </w:pPr>
            <w:r>
              <w:rPr>
                <w:sz w:val="17"/>
              </w:rPr>
              <w:t>4/5</w:t>
            </w:r>
          </w:p>
        </w:tc>
        <w:tc>
          <w:tcPr>
            <w:tcW w:type="dxa" w:w="3312"/>
            <w:tcMar>
              <w:top w:w="80" w:type="dxa"/>
              <w:start w:w="90" w:type="dxa"/>
              <w:bottom w:w="80" w:type="dxa"/>
              <w:end w:w="90" w:type="dxa"/>
            </w:tcMar>
          </w:tcPr>
          <w:p>
            <w:pPr>
              <w:spacing w:after="0"/>
            </w:pPr>
            <w:r>
              <w:rPr>
                <w:sz w:val="17"/>
              </w:rPr>
              <w:t>Excellent 5→8→9→11 escalation; middle execution needs variation.</w:t>
            </w:r>
          </w:p>
        </w:tc>
      </w:tr>
      <w:tr>
        <w:tc>
          <w:tcPr>
            <w:tcW w:type="dxa" w:w="3312"/>
            <w:tcMar>
              <w:top w:w="80" w:type="dxa"/>
              <w:start w:w="90" w:type="dxa"/>
              <w:bottom w:w="80" w:type="dxa"/>
              <w:end w:w="90" w:type="dxa"/>
            </w:tcMar>
          </w:tcPr>
          <w:p>
            <w:pPr>
              <w:spacing w:after="0"/>
            </w:pPr>
            <w:r>
              <w:rPr>
                <w:sz w:val="17"/>
              </w:rPr>
              <w:t>Story vs. lesson</w:t>
            </w:r>
          </w:p>
        </w:tc>
        <w:tc>
          <w:tcPr>
            <w:tcW w:type="dxa" w:w="3312"/>
            <w:tcMar>
              <w:top w:w="80" w:type="dxa"/>
              <w:start w:w="90" w:type="dxa"/>
              <w:bottom w:w="80" w:type="dxa"/>
              <w:end w:w="90" w:type="dxa"/>
            </w:tcMar>
          </w:tcPr>
          <w:p>
            <w:pPr>
              <w:spacing w:after="0"/>
              <w:jc w:val="center"/>
            </w:pPr>
            <w:r>
              <w:rPr>
                <w:sz w:val="17"/>
              </w:rPr>
              <w:t>4/5</w:t>
            </w:r>
          </w:p>
        </w:tc>
        <w:tc>
          <w:tcPr>
            <w:tcW w:type="dxa" w:w="3312"/>
            <w:tcMar>
              <w:top w:w="80" w:type="dxa"/>
              <w:start w:w="90" w:type="dxa"/>
              <w:bottom w:w="80" w:type="dxa"/>
              <w:end w:w="90" w:type="dxa"/>
            </w:tcMar>
          </w:tcPr>
          <w:p>
            <w:pPr>
              <w:spacing w:after="0"/>
            </w:pPr>
            <w:r>
              <w:rPr>
                <w:sz w:val="17"/>
              </w:rPr>
              <w:t>Story exists independently; several expert-heavy episodes remain vulnerable.</w:t>
            </w:r>
          </w:p>
        </w:tc>
      </w:tr>
      <w:tr>
        <w:tc>
          <w:tcPr>
            <w:tcW w:type="dxa" w:w="3312"/>
            <w:tcMar>
              <w:top w:w="80" w:type="dxa"/>
              <w:start w:w="90" w:type="dxa"/>
              <w:bottom w:w="80" w:type="dxa"/>
              <w:end w:w="90" w:type="dxa"/>
            </w:tcMar>
          </w:tcPr>
          <w:p>
            <w:pPr>
              <w:spacing w:after="0"/>
            </w:pPr>
            <w:r>
              <w:rPr>
                <w:sz w:val="17"/>
              </w:rPr>
              <w:t>Parent trust</w:t>
            </w:r>
          </w:p>
        </w:tc>
        <w:tc>
          <w:tcPr>
            <w:tcW w:type="dxa" w:w="3312"/>
            <w:tcMar>
              <w:top w:w="80" w:type="dxa"/>
              <w:start w:w="90" w:type="dxa"/>
              <w:bottom w:w="80" w:type="dxa"/>
              <w:end w:w="90" w:type="dxa"/>
            </w:tcMar>
          </w:tcPr>
          <w:p>
            <w:pPr>
              <w:spacing w:after="0"/>
              <w:jc w:val="center"/>
            </w:pPr>
            <w:r>
              <w:rPr>
                <w:sz w:val="17"/>
              </w:rPr>
              <w:t>4/5</w:t>
            </w:r>
          </w:p>
        </w:tc>
        <w:tc>
          <w:tcPr>
            <w:tcW w:type="dxa" w:w="3312"/>
            <w:tcMar>
              <w:top w:w="80" w:type="dxa"/>
              <w:start w:w="90" w:type="dxa"/>
              <w:bottom w:w="80" w:type="dxa"/>
              <w:end w:w="90" w:type="dxa"/>
            </w:tcMar>
          </w:tcPr>
          <w:p>
            <w:pPr>
              <w:spacing w:after="0"/>
            </w:pPr>
            <w:r>
              <w:rPr>
                <w:sz w:val="17"/>
              </w:rPr>
              <w:t>Strong anti-shame/privacy/help-seeking architecture; requires real caregiver test.</w:t>
            </w:r>
          </w:p>
        </w:tc>
      </w:tr>
      <w:tr>
        <w:tc>
          <w:tcPr>
            <w:tcW w:type="dxa" w:w="3312"/>
            <w:tcMar>
              <w:top w:w="80" w:type="dxa"/>
              <w:start w:w="90" w:type="dxa"/>
              <w:bottom w:w="80" w:type="dxa"/>
              <w:end w:w="90" w:type="dxa"/>
            </w:tcMar>
          </w:tcPr>
          <w:p>
            <w:pPr>
              <w:spacing w:after="0"/>
            </w:pPr>
            <w:r>
              <w:rPr>
                <w:sz w:val="17"/>
              </w:rPr>
              <w:t>Representation specificity</w:t>
            </w:r>
          </w:p>
        </w:tc>
        <w:tc>
          <w:tcPr>
            <w:tcW w:type="dxa" w:w="3312"/>
            <w:tcMar>
              <w:top w:w="80" w:type="dxa"/>
              <w:start w:w="90" w:type="dxa"/>
              <w:bottom w:w="80" w:type="dxa"/>
              <w:end w:w="90" w:type="dxa"/>
            </w:tcMar>
          </w:tcPr>
          <w:p>
            <w:pPr>
              <w:spacing w:after="0"/>
              <w:jc w:val="center"/>
            </w:pPr>
            <w:r>
              <w:rPr>
                <w:sz w:val="17"/>
              </w:rPr>
              <w:t>3/5</w:t>
            </w:r>
          </w:p>
        </w:tc>
        <w:tc>
          <w:tcPr>
            <w:tcW w:type="dxa" w:w="3312"/>
            <w:tcMar>
              <w:top w:w="80" w:type="dxa"/>
              <w:start w:w="90" w:type="dxa"/>
              <w:bottom w:w="80" w:type="dxa"/>
              <w:end w:w="90" w:type="dxa"/>
            </w:tcMar>
          </w:tcPr>
          <w:p>
            <w:pPr>
              <w:spacing w:after="0"/>
            </w:pPr>
            <w:r>
              <w:rPr>
                <w:sz w:val="17"/>
              </w:rPr>
              <w:t>Promising framework, but Level 1 does not yet contain enough lived detail for validation.</w:t>
            </w:r>
          </w:p>
        </w:tc>
      </w:tr>
      <w:tr>
        <w:tc>
          <w:tcPr>
            <w:tcW w:type="dxa" w:w="3312"/>
            <w:tcMar>
              <w:top w:w="80" w:type="dxa"/>
              <w:start w:w="90" w:type="dxa"/>
              <w:bottom w:w="80" w:type="dxa"/>
              <w:end w:w="90" w:type="dxa"/>
            </w:tcMar>
          </w:tcPr>
          <w:p>
            <w:pPr>
              <w:spacing w:after="0"/>
            </w:pPr>
            <w:r>
              <w:rPr>
                <w:sz w:val="17"/>
              </w:rPr>
              <w:t>Age-fit &amp; usefulness</w:t>
            </w:r>
          </w:p>
        </w:tc>
        <w:tc>
          <w:tcPr>
            <w:tcW w:type="dxa" w:w="3312"/>
            <w:tcMar>
              <w:top w:w="80" w:type="dxa"/>
              <w:start w:w="90" w:type="dxa"/>
              <w:bottom w:w="80" w:type="dxa"/>
              <w:end w:w="90" w:type="dxa"/>
            </w:tcMar>
          </w:tcPr>
          <w:p>
            <w:pPr>
              <w:spacing w:after="0"/>
              <w:jc w:val="center"/>
            </w:pPr>
            <w:r>
              <w:rPr>
                <w:sz w:val="17"/>
              </w:rPr>
              <w:t>4/5</w:t>
            </w:r>
          </w:p>
        </w:tc>
        <w:tc>
          <w:tcPr>
            <w:tcW w:type="dxa" w:w="3312"/>
            <w:tcMar>
              <w:top w:w="80" w:type="dxa"/>
              <w:start w:w="90" w:type="dxa"/>
              <w:bottom w:w="80" w:type="dxa"/>
              <w:end w:w="90" w:type="dxa"/>
            </w:tcMar>
          </w:tcPr>
          <w:p>
            <w:pPr>
              <w:spacing w:after="0"/>
            </w:pPr>
            <w:r>
              <w:rPr>
                <w:sz w:val="17"/>
              </w:rPr>
              <w:t>Concrete child-centered cases and emotional fears.</w:t>
            </w:r>
          </w:p>
        </w:tc>
      </w:tr>
      <w:tr>
        <w:tc>
          <w:tcPr>
            <w:tcW w:type="dxa" w:w="3312"/>
            <w:tcMar>
              <w:top w:w="80" w:type="dxa"/>
              <w:start w:w="90" w:type="dxa"/>
              <w:bottom w:w="80" w:type="dxa"/>
              <w:end w:w="90" w:type="dxa"/>
            </w:tcMar>
          </w:tcPr>
          <w:p>
            <w:pPr>
              <w:spacing w:after="0"/>
            </w:pPr>
            <w:r>
              <w:rPr>
                <w:sz w:val="17"/>
              </w:rPr>
              <w:t>Health accuracy readiness</w:t>
            </w:r>
          </w:p>
        </w:tc>
        <w:tc>
          <w:tcPr>
            <w:tcW w:type="dxa" w:w="3312"/>
            <w:tcMar>
              <w:top w:w="80" w:type="dxa"/>
              <w:start w:w="90" w:type="dxa"/>
              <w:bottom w:w="80" w:type="dxa"/>
              <w:end w:w="90" w:type="dxa"/>
            </w:tcMar>
          </w:tcPr>
          <w:p>
            <w:pPr>
              <w:spacing w:after="0"/>
              <w:jc w:val="center"/>
            </w:pPr>
            <w:r>
              <w:rPr>
                <w:sz w:val="17"/>
              </w:rPr>
              <w:t>3/5</w:t>
            </w:r>
          </w:p>
        </w:tc>
        <w:tc>
          <w:tcPr>
            <w:tcW w:type="dxa" w:w="3312"/>
            <w:tcMar>
              <w:top w:w="80" w:type="dxa"/>
              <w:start w:w="90" w:type="dxa"/>
              <w:bottom w:w="80" w:type="dxa"/>
              <w:end w:w="90" w:type="dxa"/>
            </w:tcMar>
          </w:tcPr>
          <w:p>
            <w:pPr>
              <w:spacing w:after="0"/>
            </w:pPr>
            <w:r>
              <w:rPr>
                <w:sz w:val="17"/>
              </w:rPr>
              <w:t>Claims are identifiable and cautiously framed, but intentionally still unverified.</w:t>
            </w:r>
          </w:p>
        </w:tc>
      </w:tr>
    </w:tbl>
    <w:p/>
    <w:tbl>
      <w:tblPr>
        <w:tblW w:type="auto" w:w="0"/>
        <w:jc w:val="center"/>
        <w:tblLayout w:type="autofit"/>
        <w:tblLook w:firstColumn="1" w:firstRow="1" w:lastColumn="0" w:lastRow="0" w:noHBand="0" w:noVBand="1" w:val="04A0"/>
      </w:tblPr>
      <w:tblGrid>
        <w:gridCol w:w="9936"/>
      </w:tblGrid>
      <w:tr>
        <w:tc>
          <w:tcPr>
            <w:tcW w:type="dxa" w:w="9936"/>
            <w:shd w:fill="F1F6F3"/>
            <w:tcMar>
              <w:top w:w="110" w:type="dxa"/>
              <w:start w:w="140" w:type="dxa"/>
              <w:bottom w:w="110" w:type="dxa"/>
              <w:end w:w="140" w:type="dxa"/>
            </w:tcMar>
            <w:tcBorders>
              <w:top w:val="single" w:sz="6" w:color="2F6B4F"/>
              <w:left w:val="single" w:sz="6" w:color="2F6B4F"/>
              <w:bottom w:val="single" w:sz="6" w:color="2F6B4F"/>
              <w:right w:val="single" w:sz="6" w:color="2F6B4F"/>
            </w:tcBorders>
          </w:tcPr>
          <w:p>
            <w:pPr>
              <w:spacing w:after="0"/>
            </w:pPr>
            <w:r>
              <w:rPr>
                <w:b/>
                <w:color w:val="40254B"/>
              </w:rPr>
              <w:t>FINAL PANEL VERDICT:</w:t>
            </w:r>
            <w:r>
              <w:rPr>
                <w:color w:val="2F2F2F"/>
              </w:rPr>
              <w:t xml:space="preserve"> READY FOR HUMAN OUTLINE REVIEW</w:t>
            </w:r>
          </w:p>
        </w:tc>
      </w:tr>
    </w:tbl>
    <w:p>
      <w:r>
        <w:t>The simulated review found execution vulnerabilities worth carrying forward, but it did not uncover a broken season spine, an unearned finale, a missing protagonist arc, or a reason to dismantle the locked architecture.</w:t>
      </w:r>
    </w:p>
    <w:p>
      <w:r>
        <w:t>The next evidence should come from humans where humans add information: a parent/caregiver for trust, a lived-experience reader for dignity and specificity, and a clinician for the narrowed health claims. A child reaction test is best run after a child-friendly summary or representative scenes exist.</w:t>
      </w:r>
    </w:p>
    <w:p>
      <w:pPr>
        <w:spacing w:after="80"/>
        <w:pBdr>
          <w:bottom w:val="single" w:sz="8" w:space="1" w:color="C5A15A"/>
        </w:pBdr>
      </w:pPr>
    </w:p>
    <w:p>
      <w:pPr>
        <w:jc w:val="center"/>
      </w:pPr>
      <w:r>
        <w:rPr>
          <w:color w:val="666666"/>
          <w:sz w:val="17"/>
        </w:rPr>
        <w:t>Internal development document • Outline-stage review • Not a medical or cultural-authenticity certification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Simulated Outline Review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MIA'S PUBERTY PRIMER | OPERATION SISTERWATCH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40254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5A3568"/>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Display" w:hAnsi="Aptos Display"/>
      <w:b/>
      <w:color w:val="4025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dict">
    <w:name w:val="Verdict"/>
    <w:pPr>
      <w:spacing w:after="60"/>
    </w:pPr>
    <w:rPr>
      <w:rFonts w:ascii="Aptos" w:hAnsi="Aptos"/>
      <w:b/>
      <w:color w:val="4025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