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74BE7" w14:textId="78BC18F1" w:rsidR="00760E1A" w:rsidRDefault="00760E1A" w:rsidP="00DD740C">
      <w:pPr>
        <w:jc w:val="center"/>
        <w:rPr>
          <w:b/>
          <w:bCs/>
          <w:sz w:val="44"/>
          <w:szCs w:val="44"/>
        </w:rPr>
      </w:pPr>
      <w:r w:rsidRPr="00DD740C">
        <w:rPr>
          <w:b/>
          <w:bCs/>
          <w:sz w:val="44"/>
          <w:szCs w:val="44"/>
        </w:rPr>
        <w:t>Note méthodologique</w:t>
      </w:r>
    </w:p>
    <w:p w14:paraId="58097B09" w14:textId="77777777" w:rsidR="00DD740C" w:rsidRPr="00DD740C" w:rsidRDefault="00DD740C" w:rsidP="00DD740C">
      <w:pPr>
        <w:jc w:val="center"/>
        <w:rPr>
          <w:b/>
          <w:bCs/>
          <w:sz w:val="44"/>
          <w:szCs w:val="44"/>
        </w:rPr>
      </w:pPr>
    </w:p>
    <w:p w14:paraId="160FD411" w14:textId="1DF80B17" w:rsidR="00760E1A" w:rsidRPr="00DB4E01" w:rsidRDefault="00760E1A" w:rsidP="00760E1A">
      <w:pPr>
        <w:pStyle w:val="Listepuces"/>
        <w:numPr>
          <w:ilvl w:val="0"/>
          <w:numId w:val="0"/>
        </w:numPr>
        <w:ind w:left="360" w:hanging="360"/>
        <w:rPr>
          <w:b/>
          <w:bCs/>
          <w:sz w:val="32"/>
          <w:szCs w:val="32"/>
        </w:rPr>
      </w:pPr>
      <w:r w:rsidRPr="00DB4E01">
        <w:rPr>
          <w:b/>
          <w:bCs/>
          <w:color w:val="0070C0"/>
          <w:sz w:val="32"/>
          <w:szCs w:val="32"/>
        </w:rPr>
        <w:t>1</w:t>
      </w:r>
      <w:r w:rsidR="00482782" w:rsidRPr="00DB4E01">
        <w:rPr>
          <w:b/>
          <w:bCs/>
          <w:color w:val="0070C0"/>
          <w:sz w:val="32"/>
          <w:szCs w:val="32"/>
        </w:rPr>
        <w:t>.</w:t>
      </w:r>
      <w:r w:rsidRPr="00DB4E01">
        <w:rPr>
          <w:b/>
          <w:bCs/>
          <w:color w:val="0070C0"/>
          <w:sz w:val="32"/>
          <w:szCs w:val="32"/>
        </w:rPr>
        <w:t xml:space="preserve"> </w:t>
      </w:r>
      <w:proofErr w:type="spellStart"/>
      <w:r w:rsidRPr="00DB4E01">
        <w:rPr>
          <w:b/>
          <w:bCs/>
          <w:color w:val="0070C0"/>
          <w:sz w:val="32"/>
          <w:szCs w:val="32"/>
        </w:rPr>
        <w:t>Dataset</w:t>
      </w:r>
      <w:proofErr w:type="spellEnd"/>
      <w:r w:rsidRPr="00DB4E01">
        <w:rPr>
          <w:b/>
          <w:bCs/>
          <w:color w:val="0070C0"/>
          <w:sz w:val="32"/>
          <w:szCs w:val="32"/>
        </w:rPr>
        <w:t xml:space="preserve"> retenu</w:t>
      </w:r>
    </w:p>
    <w:p w14:paraId="78475E2C" w14:textId="3B32736F" w:rsidR="00760E1A" w:rsidRPr="00760E1A" w:rsidRDefault="00760E1A" w:rsidP="00760E1A">
      <w:r w:rsidRPr="00760E1A">
        <w:t xml:space="preserve">Le jeu de données utilisé dans cette expérimentation est un </w:t>
      </w:r>
      <w:proofErr w:type="spellStart"/>
      <w:r w:rsidRPr="00760E1A">
        <w:t>dataset</w:t>
      </w:r>
      <w:proofErr w:type="spellEnd"/>
      <w:r w:rsidRPr="00760E1A">
        <w:t xml:space="preserve"> tabulaire structuré portant sur des individus, chaque observation correspondant à un employé. Il s’inscrit dans un contexte de </w:t>
      </w:r>
      <w:proofErr w:type="spellStart"/>
      <w:r w:rsidRPr="00760E1A">
        <w:t>churn</w:t>
      </w:r>
      <w:proofErr w:type="spellEnd"/>
      <w:r w:rsidRPr="00760E1A">
        <w:t xml:space="preserve"> des employés, avec pour objectif d’analyser les facteurs associés à un départ et de construire un modèle </w:t>
      </w:r>
      <w:r>
        <w:t>prédictif</w:t>
      </w:r>
      <w:r w:rsidRPr="00760E1A">
        <w:t>.</w:t>
      </w:r>
    </w:p>
    <w:p w14:paraId="64F4C18E" w14:textId="5259BFB8" w:rsidR="00760E1A" w:rsidRPr="00760E1A" w:rsidRDefault="00760E1A" w:rsidP="00760E1A">
      <w:r w:rsidRPr="00760E1A">
        <w:t xml:space="preserve">Le </w:t>
      </w:r>
      <w:proofErr w:type="spellStart"/>
      <w:r w:rsidRPr="00760E1A">
        <w:t>dataset</w:t>
      </w:r>
      <w:proofErr w:type="spellEnd"/>
      <w:r w:rsidRPr="00760E1A">
        <w:t xml:space="preserve"> est composé de variables quantitatives et catégorielles, décrivant à la fois des caractéristiques individuelles (</w:t>
      </w:r>
      <w:r w:rsidR="00151308" w:rsidRPr="00151308">
        <w:t>ex. ancienneté, charge de travail, localisation du travail, équilibre vie pro/vie perso, etc</w:t>
      </w:r>
      <w:r w:rsidR="007A6B2C">
        <w:t>…</w:t>
      </w:r>
      <w:r w:rsidRPr="00760E1A">
        <w:t>) et des éléments liés à l’environnement professionnel. Aucune donnée textuelle brute ni donnée temporelle fine n’est présente. Les données sont donc directement exploitables dans un cadre de modélisation supervisée classique sur données tabulaires.</w:t>
      </w:r>
    </w:p>
    <w:p w14:paraId="1CB2634B" w14:textId="699DFB5B" w:rsidR="00760E1A" w:rsidRPr="00760E1A" w:rsidRDefault="00760E1A" w:rsidP="00760E1A">
      <w:r w:rsidRPr="00760E1A">
        <w:t>La variable cible est binaire et indique si un employé a quitté l’entreprise (1) ou non (0). L’analyse exploratoire met en évidence un déséquilibre de classes significatif, la classe minoritaire représentant une proportion nettement plus faible des observations. Ce déséquilibre reflète une situation réaliste en contexte RH, où les départs restent minoritaires par rapport aux effectifs totaux, et constitue un point central de la problématique de modélisation.</w:t>
      </w:r>
    </w:p>
    <w:p w14:paraId="0297EDA5" w14:textId="01BFC57F" w:rsidR="00760E1A" w:rsidRPr="00760E1A" w:rsidRDefault="00760E1A" w:rsidP="00760E1A">
      <w:r w:rsidRPr="00760E1A">
        <w:t>L’</w:t>
      </w:r>
      <w:r>
        <w:t>EDA</w:t>
      </w:r>
      <w:r w:rsidRPr="00760E1A">
        <w:t xml:space="preserve"> a permis d’identifier plusieurs tendances structurantes. Certaines variables présentent des distributions asymétriques et des écarts marqués entre les employés ayant quitté l’entreprise et ceux étant restés, notamment sur des indicateurs liés à la satisfaction, à l’ancienneté et à la charge de travail. D’autres variables apparaissent plus faiblement discriminantes prises isolément, suggérant la nécessité de modèles capables de capter des interactions entre variables.</w:t>
      </w:r>
    </w:p>
    <w:p w14:paraId="19848BAA" w14:textId="41846E18" w:rsidR="00760E1A" w:rsidRPr="00760E1A" w:rsidRDefault="00760E1A" w:rsidP="00760E1A">
      <w:r w:rsidRPr="00760E1A">
        <w:t>Les données ne présentent pas de valeurs manquantes</w:t>
      </w:r>
      <w:r>
        <w:t xml:space="preserve">. </w:t>
      </w:r>
      <w:r w:rsidRPr="00760E1A">
        <w:t xml:space="preserve">Les variables catégorielles ont été </w:t>
      </w:r>
      <w:r>
        <w:t>encodées (lors de l’expérimentation)</w:t>
      </w:r>
      <w:r w:rsidRPr="00760E1A">
        <w:t xml:space="preserve"> et les variables numériques préparées de manière cohérente avec les modèles testés par la suite. </w:t>
      </w:r>
    </w:p>
    <w:p w14:paraId="0CEEBF7F" w14:textId="77777777" w:rsidR="00760E1A" w:rsidRPr="00760E1A" w:rsidRDefault="00760E1A" w:rsidP="00760E1A">
      <w:r w:rsidRPr="00760E1A">
        <w:t xml:space="preserve">Enfin, le </w:t>
      </w:r>
      <w:proofErr w:type="spellStart"/>
      <w:r w:rsidRPr="00760E1A">
        <w:t>dataset</w:t>
      </w:r>
      <w:proofErr w:type="spellEnd"/>
      <w:r w:rsidRPr="00760E1A">
        <w:t xml:space="preserve"> a été scindé en un jeu d’entraînement et un jeu de test distinct, le jeu de test étant strictement conservé pour l’évaluation finale des modèles. Les phases d’optimisation des hyperparamètres et de validation croisée ont été réalisées exclusivement sur les données d’entraînement, garantissant ainsi l’honnêteté scientifique et la reproductibilité des résultats.</w:t>
      </w:r>
    </w:p>
    <w:p w14:paraId="0C1FA6BC" w14:textId="77777777" w:rsidR="00760E1A" w:rsidRDefault="00760E1A" w:rsidP="00760E1A">
      <w:pPr>
        <w:pStyle w:val="Listepuces"/>
        <w:numPr>
          <w:ilvl w:val="0"/>
          <w:numId w:val="0"/>
        </w:numPr>
        <w:ind w:left="360" w:hanging="360"/>
        <w:rPr>
          <w:b/>
          <w:bCs/>
          <w:sz w:val="28"/>
          <w:szCs w:val="28"/>
        </w:rPr>
      </w:pPr>
    </w:p>
    <w:p w14:paraId="5320C968" w14:textId="77777777" w:rsidR="00513490" w:rsidRDefault="00513490" w:rsidP="00513490"/>
    <w:p w14:paraId="03C68B14" w14:textId="7E9C7A93" w:rsidR="00513490" w:rsidRPr="00DB4E01" w:rsidRDefault="00482782" w:rsidP="00513490">
      <w:pPr>
        <w:pStyle w:val="Listepuces"/>
        <w:numPr>
          <w:ilvl w:val="0"/>
          <w:numId w:val="0"/>
        </w:numPr>
        <w:ind w:left="360" w:hanging="360"/>
        <w:rPr>
          <w:b/>
          <w:bCs/>
          <w:sz w:val="32"/>
          <w:szCs w:val="32"/>
        </w:rPr>
      </w:pPr>
      <w:r w:rsidRPr="00DB4E01">
        <w:rPr>
          <w:b/>
          <w:bCs/>
          <w:color w:val="0070C0"/>
          <w:sz w:val="32"/>
          <w:szCs w:val="32"/>
        </w:rPr>
        <w:t>2.</w:t>
      </w:r>
      <w:r w:rsidR="00E33FD0" w:rsidRPr="00DB4E01">
        <w:rPr>
          <w:b/>
          <w:bCs/>
          <w:color w:val="0070C0"/>
          <w:sz w:val="32"/>
          <w:szCs w:val="32"/>
        </w:rPr>
        <w:t xml:space="preserve"> </w:t>
      </w:r>
      <w:r w:rsidR="00513490" w:rsidRPr="00DB4E01">
        <w:rPr>
          <w:b/>
          <w:bCs/>
          <w:color w:val="0070C0"/>
          <w:sz w:val="32"/>
          <w:szCs w:val="32"/>
        </w:rPr>
        <w:t>Les concepts de l’algorithme récent</w:t>
      </w:r>
    </w:p>
    <w:p w14:paraId="20CD3EA1" w14:textId="77777777" w:rsidR="00513490" w:rsidRDefault="00513490" w:rsidP="00513490">
      <w:pPr>
        <w:pStyle w:val="Listepuces"/>
        <w:numPr>
          <w:ilvl w:val="0"/>
          <w:numId w:val="0"/>
        </w:numPr>
        <w:ind w:left="360"/>
      </w:pPr>
    </w:p>
    <w:p w14:paraId="084B7D09" w14:textId="2BDB8D6C" w:rsidR="00513490" w:rsidRPr="00513490" w:rsidRDefault="00513490" w:rsidP="00513490">
      <w:r w:rsidRPr="00513490">
        <w:t xml:space="preserve">Le problème étudié s’inscrit dans un cadre de classification supervisée binaire, dont l’objectif initial est de prédire le </w:t>
      </w:r>
      <w:proofErr w:type="spellStart"/>
      <w:r w:rsidRPr="00513490">
        <w:t>churn</w:t>
      </w:r>
      <w:proofErr w:type="spellEnd"/>
      <w:r w:rsidRPr="00513490">
        <w:t xml:space="preserve"> des employés à partir de données tabulaires issues d’un contexte de ressources humaines. La variable cible indique si un employé a quitté l’entreprise ou non, et la tâche consiste à estimer, à partir des variables explicatives disponibles, la probabilité associée à cet événement.</w:t>
      </w:r>
    </w:p>
    <w:p w14:paraId="4BB35C41" w14:textId="77777777" w:rsidR="002E00A0" w:rsidRDefault="002E00A0" w:rsidP="00513490">
      <w:r w:rsidRPr="002E00A0">
        <w:t xml:space="preserve">Dans ce contexte, l’algorithme retenu est la régression logistique, un modèle couramment utilisé pour les problèmes de classification binaire. Contrairement à des approches basées sur des règles fixes, la régression logistique permet d’estimer la probabilité qu’une observation appartienne à la classe positive. Elle repose sur une combinaison linéaire des variables explicatives, transformée par une fonction logistique afin d’obtenir une valeur comprise entre 0 et 1. Ce fonctionnement permet d’évaluer le risque de </w:t>
      </w:r>
      <w:proofErr w:type="spellStart"/>
      <w:r w:rsidRPr="002E00A0">
        <w:t>churn</w:t>
      </w:r>
      <w:proofErr w:type="spellEnd"/>
      <w:r w:rsidRPr="002E00A0">
        <w:t xml:space="preserve"> de manière progressive plutôt que de produire une décision strictement binaire.</w:t>
      </w:r>
    </w:p>
    <w:p w14:paraId="5B034C15" w14:textId="76C3AC3B" w:rsidR="002E00A0" w:rsidRDefault="002E00A0" w:rsidP="00513490">
      <w:r w:rsidRPr="002E00A0">
        <w:t xml:space="preserve">Le modèle de régression logistique associe à chaque variable explicative un coefficient qui permet de mesurer son influence sur le risque de </w:t>
      </w:r>
      <w:proofErr w:type="spellStart"/>
      <w:r w:rsidRPr="002E00A0">
        <w:t>churn</w:t>
      </w:r>
      <w:proofErr w:type="spellEnd"/>
      <w:r w:rsidRPr="002E00A0">
        <w:t>. Le signe du coefficient indique si la variable a un effet positif ou négatif sur la probabilité de départ d’un employé, tandis que sa valeur absolue donne une indication sur l’importance de cet effet. Cette interprétabilité constitue un avantage important du modèle, notamment dans un contexte RH où il est nécessaire de comprendre et de justifier les facteurs influençant les décisions.</w:t>
      </w:r>
    </w:p>
    <w:p w14:paraId="590A7147" w14:textId="77777777" w:rsidR="002E00A0" w:rsidRDefault="002E00A0" w:rsidP="00513490">
      <w:r w:rsidRPr="002E00A0">
        <w:t xml:space="preserve">La régression logistique est particulièrement adaptée à un problème de prédiction du </w:t>
      </w:r>
      <w:proofErr w:type="spellStart"/>
      <w:r w:rsidRPr="002E00A0">
        <w:t>churn</w:t>
      </w:r>
      <w:proofErr w:type="spellEnd"/>
      <w:r w:rsidRPr="002E00A0">
        <w:t xml:space="preserve"> car le départ d’un employé résulte le plus souvent de la combinaison de plusieurs facteurs. Des éléments tels que la satisfaction, l’ancienneté, les conditions de travail ou encore la rémunération influencent conjointement la décision de départ, sans qu’il existe de règle unique ou déterministe. La régression logistique permet de prendre en compte ces différents facteurs de manière cumulative afin d’estimer leur impact global sur le risque de </w:t>
      </w:r>
      <w:proofErr w:type="spellStart"/>
      <w:r w:rsidRPr="002E00A0">
        <w:t>churn</w:t>
      </w:r>
      <w:proofErr w:type="spellEnd"/>
      <w:r w:rsidRPr="002E00A0">
        <w:t>.</w:t>
      </w:r>
    </w:p>
    <w:p w14:paraId="2008384C" w14:textId="09C4AC16" w:rsidR="00513490" w:rsidRDefault="00513490" w:rsidP="00513490">
      <w:r w:rsidRPr="00513490">
        <w:t xml:space="preserve">Enfin, bien que des modèles plus complexes puissent être envisagés pour capter des interactions non linéaires, la régression logistique constitue un compromis pertinent entre performance, robustesse et lisibilité. Elle fournit une base méthodologique solide pour l’analyse des facteurs explicatifs du </w:t>
      </w:r>
      <w:proofErr w:type="spellStart"/>
      <w:r w:rsidRPr="00513490">
        <w:t>churn</w:t>
      </w:r>
      <w:proofErr w:type="spellEnd"/>
      <w:r w:rsidRPr="00513490">
        <w:t>, tout en garantissant une transparence indispensable à l’acceptabilité des modèles dans un cadre RH. Ce positionnement en fait un algorithme particulièrement adapté pour une étude visant à concilier prédiction et compréhension du phénomène observé.</w:t>
      </w:r>
    </w:p>
    <w:p w14:paraId="5D56D4F6" w14:textId="77777777" w:rsidR="002E00A0" w:rsidRDefault="002E00A0" w:rsidP="00513490"/>
    <w:p w14:paraId="6F1E04F2" w14:textId="0E9E2950" w:rsidR="002E00A0" w:rsidRPr="00DB4E01" w:rsidRDefault="00E33FD0" w:rsidP="00E33FD0">
      <w:pPr>
        <w:pStyle w:val="Listepuces"/>
        <w:numPr>
          <w:ilvl w:val="0"/>
          <w:numId w:val="0"/>
        </w:numPr>
        <w:ind w:left="360" w:hanging="360"/>
        <w:rPr>
          <w:b/>
          <w:bCs/>
          <w:color w:val="0070C0"/>
          <w:sz w:val="32"/>
          <w:szCs w:val="32"/>
        </w:rPr>
      </w:pPr>
      <w:r w:rsidRPr="00DB4E01">
        <w:rPr>
          <w:b/>
          <w:bCs/>
          <w:color w:val="0070C0"/>
          <w:sz w:val="32"/>
          <w:szCs w:val="32"/>
        </w:rPr>
        <w:t>3</w:t>
      </w:r>
      <w:r w:rsidR="00482782" w:rsidRPr="00DB4E01">
        <w:rPr>
          <w:b/>
          <w:bCs/>
          <w:color w:val="0070C0"/>
          <w:sz w:val="32"/>
          <w:szCs w:val="32"/>
        </w:rPr>
        <w:t xml:space="preserve">. </w:t>
      </w:r>
      <w:r w:rsidR="00A20557" w:rsidRPr="00DB4E01">
        <w:rPr>
          <w:b/>
          <w:bCs/>
          <w:color w:val="0070C0"/>
          <w:sz w:val="32"/>
          <w:szCs w:val="32"/>
        </w:rPr>
        <w:t>La modélisation</w:t>
      </w:r>
    </w:p>
    <w:p w14:paraId="50E2462C" w14:textId="77777777" w:rsidR="00A20557" w:rsidRPr="00A20557" w:rsidRDefault="00A20557" w:rsidP="00A20557">
      <w:r w:rsidRPr="00A20557">
        <w:t xml:space="preserve">L’objectif de la modélisation est de construire un modèle capable de prédire le </w:t>
      </w:r>
      <w:proofErr w:type="spellStart"/>
      <w:r w:rsidRPr="00A20557">
        <w:t>churn</w:t>
      </w:r>
      <w:proofErr w:type="spellEnd"/>
      <w:r w:rsidRPr="00A20557">
        <w:t xml:space="preserve"> des employés à partir des variables disponibles, tout en garantissant une démarche rigoureuse, reproductible et adaptée aux contraintes métier. Le problème est formulé comme une tâche de classification supervisée binaire, où la variable cible indique le départ ou non d’un employé.</w:t>
      </w:r>
    </w:p>
    <w:p w14:paraId="13AAF136" w14:textId="77777777" w:rsidR="00A20557" w:rsidRPr="00A20557" w:rsidRDefault="00A20557" w:rsidP="00A20557">
      <w:r w:rsidRPr="00A20557">
        <w:t>Dans un premier temps, le jeu de données a été séparé en deux parties distinctes : un jeu d’entraînement et un jeu de test. Le jeu d’entraînement est utilisé pour l’apprentissage des modèles et l’optimisation des paramètres, tandis que le jeu de test est conservé exclusivement pour l’évaluation finale des performances. Cette séparation permet d’éviter toute fuite d’information et d’obtenir une estimation plus réaliste des performances du modèle sur des données non vues.</w:t>
      </w:r>
    </w:p>
    <w:p w14:paraId="1FF45553" w14:textId="77777777" w:rsidR="00A20557" w:rsidRPr="00A20557" w:rsidRDefault="00A20557" w:rsidP="00A20557">
      <w:r w:rsidRPr="00A20557">
        <w:t>Afin de limiter le risque de surapprentissage et d’obtenir des performances plus robustes, une validation croisée a été mise en place lors de l’entraînement des modèles. Cette approche consiste à entraîner le modèle sur plusieurs sous-ensembles des données d’entraînement et à évaluer sa performance sur les sous-ensembles restants, ce qui permet de lisser l’effet de la variabilité des données.</w:t>
      </w:r>
    </w:p>
    <w:p w14:paraId="398FA26A" w14:textId="77777777" w:rsidR="00E33FD0" w:rsidRDefault="00E33FD0" w:rsidP="00A20557">
      <w:r w:rsidRPr="00E33FD0">
        <w:t xml:space="preserve">Le déséquilibre de la variable cible constitue un point central de la modélisation. Les cas de </w:t>
      </w:r>
      <w:proofErr w:type="spellStart"/>
      <w:r w:rsidRPr="00E33FD0">
        <w:t>churn</w:t>
      </w:r>
      <w:proofErr w:type="spellEnd"/>
      <w:r w:rsidRPr="00E33FD0">
        <w:t xml:space="preserve"> étant largement minoritaires par rapport aux cas de non-</w:t>
      </w:r>
      <w:proofErr w:type="spellStart"/>
      <w:r w:rsidRPr="00E33FD0">
        <w:t>churn</w:t>
      </w:r>
      <w:proofErr w:type="spellEnd"/>
      <w:r w:rsidRPr="00E33FD0">
        <w:t>, une approche basée uniquement sur l’</w:t>
      </w:r>
      <w:proofErr w:type="spellStart"/>
      <w:r w:rsidRPr="00E33FD0">
        <w:t>accuracy</w:t>
      </w:r>
      <w:proofErr w:type="spellEnd"/>
      <w:r w:rsidRPr="00E33FD0">
        <w:t xml:space="preserve"> aurait conduit à un modèle peu pertinent, capable de bien prédire la classe majoritaire mais inefficace pour identifier les employés à risque de départ. Afin de limiter ce biais dès la phase de préparation des données, la séparation du jeu de données en ensembles d’entraînement et de test a été réalisée de manière stratifiée sur la variable cible, afin de conserver des proportions similaires de </w:t>
      </w:r>
      <w:proofErr w:type="spellStart"/>
      <w:r w:rsidRPr="00E33FD0">
        <w:t>churn</w:t>
      </w:r>
      <w:proofErr w:type="spellEnd"/>
      <w:r w:rsidRPr="00E33FD0">
        <w:t xml:space="preserve"> et de non-</w:t>
      </w:r>
      <w:proofErr w:type="spellStart"/>
      <w:r w:rsidRPr="00E33FD0">
        <w:t>churn</w:t>
      </w:r>
      <w:proofErr w:type="spellEnd"/>
      <w:r w:rsidRPr="00E33FD0">
        <w:t xml:space="preserve"> dans chaque sous-ensemble. </w:t>
      </w:r>
    </w:p>
    <w:p w14:paraId="4EC35506" w14:textId="0F227FDB" w:rsidR="00E33FD0" w:rsidRDefault="00E33FD0" w:rsidP="00A20557">
      <w:r w:rsidRPr="00E33FD0">
        <w:t xml:space="preserve">En complément, des métriques plus adaptées ont été privilégiées, comme le </w:t>
      </w:r>
      <w:proofErr w:type="spellStart"/>
      <w:r w:rsidRPr="00E33FD0">
        <w:t>recall</w:t>
      </w:r>
      <w:proofErr w:type="spellEnd"/>
      <w:r w:rsidRPr="00E33FD0">
        <w:t xml:space="preserve">, la précision et le F1-score sur la classe </w:t>
      </w:r>
      <w:proofErr w:type="spellStart"/>
      <w:r w:rsidRPr="00E33FD0">
        <w:t>churn</w:t>
      </w:r>
      <w:proofErr w:type="spellEnd"/>
      <w:r w:rsidRPr="00E33FD0">
        <w:t>, et différentes stratégies de prise en compte du déséquilibre ont été testées, notamment la pondération des classes et des techniques de rééquilibrage.</w:t>
      </w:r>
    </w:p>
    <w:p w14:paraId="137221C4" w14:textId="74F0A3A8" w:rsidR="00A20557" w:rsidRPr="00A20557" w:rsidRDefault="00A20557" w:rsidP="00A20557">
      <w:r w:rsidRPr="00A20557">
        <w:t>Le choix des métriques d’évaluation a été guidé par cette problématique. L’</w:t>
      </w:r>
      <w:proofErr w:type="spellStart"/>
      <w:r w:rsidRPr="00A20557">
        <w:t>accuracy</w:t>
      </w:r>
      <w:proofErr w:type="spellEnd"/>
      <w:r w:rsidRPr="00A20557">
        <w:t xml:space="preserve"> a été rapidement écartée comme métrique principale, au profit de mesures plus adaptées aux classes déséquilibrées. Le rappel (</w:t>
      </w:r>
      <w:proofErr w:type="spellStart"/>
      <w:r w:rsidRPr="00A20557">
        <w:t>recall</w:t>
      </w:r>
      <w:proofErr w:type="spellEnd"/>
      <w:r w:rsidRPr="00A20557">
        <w:t xml:space="preserve">) de la classe </w:t>
      </w:r>
      <w:proofErr w:type="spellStart"/>
      <w:r w:rsidRPr="00A20557">
        <w:t>churn</w:t>
      </w:r>
      <w:proofErr w:type="spellEnd"/>
      <w:r w:rsidRPr="00A20557">
        <w:t xml:space="preserve"> a été considéré comme un indicateur clé, car il mesure la capacité du modèle à identifier correctement les employés qui quittent l’entreprise. La précision et le F1-score ont également été analysés afin d’évaluer le compromis entre détection des </w:t>
      </w:r>
      <w:proofErr w:type="spellStart"/>
      <w:r w:rsidRPr="00A20557">
        <w:t>churns</w:t>
      </w:r>
      <w:proofErr w:type="spellEnd"/>
      <w:r w:rsidRPr="00A20557">
        <w:t xml:space="preserve"> et limitation des faux </w:t>
      </w:r>
      <w:r w:rsidRPr="00A20557">
        <w:lastRenderedPageBreak/>
        <w:t>positifs. Enfin, l’AUC-ROC a été utilisée pour apprécier la capacité globale du modèle à discriminer entre les deux classes, indépendamment d’un seuil de décision spécifique.</w:t>
      </w:r>
    </w:p>
    <w:p w14:paraId="54B045B1" w14:textId="77777777" w:rsidR="00A20557" w:rsidRPr="00A20557" w:rsidRDefault="00A20557" w:rsidP="00A20557">
      <w:r w:rsidRPr="00A20557">
        <w:t xml:space="preserve">La régression logistique a été retenue comme modèle principal pour la phase de modélisation. L’entraînement de la régression logistique a été complété par une phase d’optimisation des hyperparamètres à l’aide de la méthode </w:t>
      </w:r>
      <w:proofErr w:type="spellStart"/>
      <w:r w:rsidRPr="00A20557">
        <w:t>GridSearchCV</w:t>
      </w:r>
      <w:proofErr w:type="spellEnd"/>
      <w:r w:rsidRPr="00A20557">
        <w:t>. Cette approche permet de tester différentes configurations du modèle tout en s’appuyant sur une validation croisée, afin de sélectionner la combinaison de paramètres offrant les performances les plus stables sur le jeu d’entraînement.</w:t>
      </w:r>
    </w:p>
    <w:p w14:paraId="1C861C92" w14:textId="7616F64A" w:rsidR="00A20557" w:rsidRPr="00A20557" w:rsidRDefault="00A20557" w:rsidP="00A20557">
      <w:r w:rsidRPr="00A20557">
        <w:t>Cette démarche permet de sélectionner une configuration du modèle offrant un bon équilibre entre performance et généralisation, tout en restant cohérente avec les contraintes d’interprétabilité propres au contexte RH.</w:t>
      </w:r>
    </w:p>
    <w:p w14:paraId="6002C1A3" w14:textId="77777777" w:rsidR="00A20557" w:rsidRDefault="00A20557" w:rsidP="00A20557">
      <w:r w:rsidRPr="00A20557">
        <w:t xml:space="preserve">Enfin, une attention particulière a été portée au choix du seuil de décision. Le seuil par défaut de 0,5 n’est pas nécessairement optimal dans un contexte de </w:t>
      </w:r>
      <w:proofErr w:type="spellStart"/>
      <w:r w:rsidRPr="00A20557">
        <w:t>churn</w:t>
      </w:r>
      <w:proofErr w:type="spellEnd"/>
      <w:r w:rsidRPr="00A20557">
        <w:t>, où les coûts associés aux faux négatifs et aux faux positifs sont asymétriques. Le seuil a donc été ajusté afin de mieux refléter les priorités métier, en privilégiant la détection des employés à risque, tout en maintenant un niveau de précision acceptable. Ce travail sur le seuil permet de passer d’une simple prédiction binaire à une approche plus nuancée, centrée sur l’évaluation du risque.</w:t>
      </w:r>
    </w:p>
    <w:p w14:paraId="53CC8FC0" w14:textId="77777777" w:rsidR="006E1A73" w:rsidRDefault="006E1A73" w:rsidP="00A20557"/>
    <w:p w14:paraId="2B55E225" w14:textId="5FB7FB2D" w:rsidR="006E1A73" w:rsidRPr="00DB4E01" w:rsidRDefault="00E33FD0" w:rsidP="00A20557">
      <w:pPr>
        <w:rPr>
          <w:b/>
          <w:bCs/>
          <w:color w:val="0070C0"/>
          <w:sz w:val="32"/>
          <w:szCs w:val="32"/>
        </w:rPr>
      </w:pPr>
      <w:r w:rsidRPr="00DB4E01">
        <w:rPr>
          <w:b/>
          <w:bCs/>
          <w:color w:val="0070C0"/>
          <w:sz w:val="32"/>
          <w:szCs w:val="32"/>
        </w:rPr>
        <w:t>4</w:t>
      </w:r>
      <w:r w:rsidR="00482782" w:rsidRPr="00DB4E01">
        <w:rPr>
          <w:b/>
          <w:bCs/>
          <w:color w:val="0070C0"/>
          <w:sz w:val="32"/>
          <w:szCs w:val="32"/>
        </w:rPr>
        <w:t>.</w:t>
      </w:r>
      <w:r w:rsidRPr="00DB4E01">
        <w:rPr>
          <w:b/>
          <w:bCs/>
          <w:color w:val="0070C0"/>
          <w:sz w:val="32"/>
          <w:szCs w:val="32"/>
        </w:rPr>
        <w:t xml:space="preserve"> </w:t>
      </w:r>
      <w:r w:rsidR="006E1A73" w:rsidRPr="00DB4E01">
        <w:rPr>
          <w:b/>
          <w:bCs/>
          <w:color w:val="0070C0"/>
          <w:sz w:val="32"/>
          <w:szCs w:val="32"/>
        </w:rPr>
        <w:t>Une synthèse des résultats</w:t>
      </w:r>
    </w:p>
    <w:p w14:paraId="7371C388" w14:textId="77777777" w:rsidR="006E1A73" w:rsidRPr="006E1A73" w:rsidRDefault="006E1A73" w:rsidP="006E1A73">
      <w:r w:rsidRPr="006E1A73">
        <w:t xml:space="preserve">Plusieurs modèles de classification ont été testés dans le but de prédire le </w:t>
      </w:r>
      <w:proofErr w:type="spellStart"/>
      <w:r w:rsidRPr="006E1A73">
        <w:t>churn</w:t>
      </w:r>
      <w:proofErr w:type="spellEnd"/>
      <w:r w:rsidRPr="006E1A73">
        <w:t xml:space="preserve"> des employés à partir des données disponibles. Ces modèles incluent des approches basées sur les arbres de décision, des méthodes d’ensemble telles que le Random Forest et le gradient </w:t>
      </w:r>
      <w:proofErr w:type="spellStart"/>
      <w:r w:rsidRPr="006E1A73">
        <w:t>boosting</w:t>
      </w:r>
      <w:proofErr w:type="spellEnd"/>
      <w:r w:rsidRPr="006E1A73">
        <w:t>, ainsi que la régression logistique. L’objectif de cette phase était d’évaluer leur capacité à identifier correctement les employés susceptibles de quitter l’entreprise.</w:t>
      </w:r>
    </w:p>
    <w:p w14:paraId="6E67408C" w14:textId="77777777" w:rsidR="006E1A73" w:rsidRPr="006E1A73" w:rsidRDefault="006E1A73" w:rsidP="006E1A73">
      <w:r w:rsidRPr="006E1A73">
        <w:t xml:space="preserve">L’analyse des résultats montre que l’ensemble des modèles testés présente un comportement relativement similaire. Ils parviennent à atteindre des niveaux de rappel élevés sur la classe </w:t>
      </w:r>
      <w:proofErr w:type="spellStart"/>
      <w:r w:rsidRPr="006E1A73">
        <w:t>churn</w:t>
      </w:r>
      <w:proofErr w:type="spellEnd"/>
      <w:r w:rsidRPr="006E1A73">
        <w:t>, ce qui signifie qu’ils identifient une grande partie des employés ayant effectivement quitté l’entreprise. Toutefois, cette capacité s’accompagne d’une précision faible, traduisant un nombre important de faux positifs. En pratique, les modèles ont tendance à générer des alertes sur une proportion très élevée du jeu de données, pouvant concerner une majorité des employés.</w:t>
      </w:r>
    </w:p>
    <w:p w14:paraId="0A243CB7" w14:textId="5D8F0B69" w:rsidR="006E1A73" w:rsidRPr="006E1A73" w:rsidRDefault="006E1A73" w:rsidP="006E1A73">
      <w:r w:rsidRPr="006E1A73">
        <w:t xml:space="preserve">Ce comportement met en évidence le caractère naïf des modèles dans ce contexte. En cherchant à maximiser le rappel, ceux-ci signalent comme </w:t>
      </w:r>
      <w:r>
        <w:t>« </w:t>
      </w:r>
      <w:r w:rsidRPr="006E1A73">
        <w:t>à risque</w:t>
      </w:r>
      <w:r>
        <w:t> »</w:t>
      </w:r>
      <w:r w:rsidRPr="006E1A73">
        <w:t xml:space="preserve"> un grand nombre d’individus qui ne quitteront finalement pas l’entreprise. Dans ces conditions, l’utilisation du modèle comme un outil de prédiction binaire</w:t>
      </w:r>
      <w:r>
        <w:t xml:space="preserve"> </w:t>
      </w:r>
      <w:r w:rsidRPr="006E1A73">
        <w:t xml:space="preserve">n’est pas satisfaisante d’un </w:t>
      </w:r>
      <w:r w:rsidRPr="006E1A73">
        <w:lastRenderedPageBreak/>
        <w:t>point de vue opérationnel. Une telle approche conduirait à des décisions peu fiables et difficilement exploitables en contexte RH.</w:t>
      </w:r>
    </w:p>
    <w:p w14:paraId="2B39E3B7" w14:textId="77777777" w:rsidR="006E1A73" w:rsidRPr="006E1A73" w:rsidRDefault="006E1A73" w:rsidP="006E1A73">
      <w:r w:rsidRPr="006E1A73">
        <w:t xml:space="preserve">Ces résultats ne remettent toutefois pas en cause l’intérêt de la modélisation réalisée. Ils soulignent plutôt les limites inhérentes au problème du </w:t>
      </w:r>
      <w:proofErr w:type="spellStart"/>
      <w:r w:rsidRPr="006E1A73">
        <w:t>churn</w:t>
      </w:r>
      <w:proofErr w:type="spellEnd"/>
      <w:r w:rsidRPr="006E1A73">
        <w:t xml:space="preserve"> et aux données disponibles, un phénomène multifactoriel influencé par des éléments partiellement observables. Dans ce cadre, il apparaît plus pertinent d’abandonner une logique de prédiction stricte au profit d’une approche plus nuancée.</w:t>
      </w:r>
    </w:p>
    <w:p w14:paraId="66E1B5E6" w14:textId="77777777" w:rsidR="006E1A73" w:rsidRPr="006E1A73" w:rsidRDefault="006E1A73" w:rsidP="006E1A73">
      <w:r w:rsidRPr="006E1A73">
        <w:t xml:space="preserve">Ainsi, les modèles testés peuvent être mobilisés comme des outils de </w:t>
      </w:r>
      <w:proofErr w:type="spellStart"/>
      <w:r w:rsidRPr="006E1A73">
        <w:t>scoring</w:t>
      </w:r>
      <w:proofErr w:type="spellEnd"/>
      <w:r w:rsidRPr="006E1A73">
        <w:t xml:space="preserve">, visant à estimer un niveau de risque relatif plutôt qu’à produire une décision binaire. Même en présence d’une précision limitée, les probabilités estimées par les modèles permettent de classer les employés selon leur exposition au risque de </w:t>
      </w:r>
      <w:proofErr w:type="spellStart"/>
      <w:r w:rsidRPr="006E1A73">
        <w:t>churn</w:t>
      </w:r>
      <w:proofErr w:type="spellEnd"/>
      <w:r w:rsidRPr="006E1A73">
        <w:t>. Cette approche offre une valeur ajoutée concrète en permettant de prioriser les actions de prévention ou d’analyse, sans prétendre prédire avec certitude un départ individuel.</w:t>
      </w:r>
    </w:p>
    <w:p w14:paraId="7C0C3143" w14:textId="77777777" w:rsidR="006E1A73" w:rsidRPr="006E1A73" w:rsidRDefault="006E1A73" w:rsidP="006E1A73">
      <w:r w:rsidRPr="006E1A73">
        <w:t>La régression logistique optimisée a été retenue dans cette optique, non pour ses performances de prédiction brute, mais pour sa stabilité et sa capacité à produire des scores interprétables. Ce choix permet de tirer parti de l’information contenue dans les données tout en respectant les contraintes de lisibilité et de justification propres à un contexte RH.</w:t>
      </w:r>
    </w:p>
    <w:p w14:paraId="7ACAC914" w14:textId="77777777" w:rsidR="006E1A73" w:rsidRPr="006E1A73" w:rsidRDefault="006E1A73" w:rsidP="006E1A73">
      <w:r w:rsidRPr="006E1A73">
        <w:t xml:space="preserve">Cette lecture des résultats conduit naturellement à s’intéresser aux facteurs explicatifs du </w:t>
      </w:r>
      <w:proofErr w:type="spellStart"/>
      <w:r w:rsidRPr="006E1A73">
        <w:t>churn</w:t>
      </w:r>
      <w:proofErr w:type="spellEnd"/>
      <w:r w:rsidRPr="006E1A73">
        <w:t xml:space="preserve">. La section suivante est ainsi consacrée à l’analyse de la </w:t>
      </w:r>
      <w:proofErr w:type="spellStart"/>
      <w:r w:rsidRPr="006E1A73">
        <w:t>feature</w:t>
      </w:r>
      <w:proofErr w:type="spellEnd"/>
      <w:r w:rsidRPr="006E1A73">
        <w:t xml:space="preserve"> importance, afin de comprendre quelles variables contribuent le plus à l’estimation du risque et comment elles influencent les prédictions du modèle, tant au niveau global qu’au niveau individuel.</w:t>
      </w:r>
    </w:p>
    <w:p w14:paraId="22C4CFA4" w14:textId="77777777" w:rsidR="00A20557" w:rsidRPr="00A20557" w:rsidRDefault="00A20557" w:rsidP="00A20557"/>
    <w:p w14:paraId="7A853634" w14:textId="49629A20" w:rsidR="00513490" w:rsidRPr="00DB4E01" w:rsidRDefault="0056023B" w:rsidP="0056023B">
      <w:pPr>
        <w:pStyle w:val="Listepuces"/>
        <w:numPr>
          <w:ilvl w:val="0"/>
          <w:numId w:val="0"/>
        </w:numPr>
        <w:ind w:left="360" w:hanging="360"/>
        <w:jc w:val="both"/>
        <w:rPr>
          <w:b/>
          <w:bCs/>
          <w:color w:val="0070C0"/>
          <w:sz w:val="32"/>
          <w:szCs w:val="32"/>
        </w:rPr>
      </w:pPr>
      <w:r w:rsidRPr="00DB4E01">
        <w:rPr>
          <w:b/>
          <w:bCs/>
          <w:color w:val="0070C0"/>
          <w:sz w:val="32"/>
          <w:szCs w:val="32"/>
        </w:rPr>
        <w:t>5</w:t>
      </w:r>
      <w:r w:rsidR="00482782" w:rsidRPr="00DB4E01">
        <w:rPr>
          <w:b/>
          <w:bCs/>
          <w:color w:val="0070C0"/>
          <w:sz w:val="32"/>
          <w:szCs w:val="32"/>
        </w:rPr>
        <w:t>.</w:t>
      </w:r>
      <w:r w:rsidRPr="00DB4E01">
        <w:rPr>
          <w:b/>
          <w:bCs/>
          <w:color w:val="0070C0"/>
          <w:sz w:val="32"/>
          <w:szCs w:val="32"/>
        </w:rPr>
        <w:t xml:space="preserve"> </w:t>
      </w:r>
      <w:r w:rsidRPr="00DB4E01">
        <w:rPr>
          <w:b/>
          <w:bCs/>
          <w:color w:val="0070C0"/>
          <w:sz w:val="32"/>
          <w:szCs w:val="32"/>
        </w:rPr>
        <w:t xml:space="preserve">L’analyse de la </w:t>
      </w:r>
      <w:proofErr w:type="spellStart"/>
      <w:r w:rsidRPr="00DB4E01">
        <w:rPr>
          <w:b/>
          <w:bCs/>
          <w:color w:val="0070C0"/>
          <w:sz w:val="32"/>
          <w:szCs w:val="32"/>
        </w:rPr>
        <w:t>feature</w:t>
      </w:r>
      <w:proofErr w:type="spellEnd"/>
      <w:r w:rsidRPr="00DB4E01">
        <w:rPr>
          <w:b/>
          <w:bCs/>
          <w:color w:val="0070C0"/>
          <w:sz w:val="32"/>
          <w:szCs w:val="32"/>
        </w:rPr>
        <w:t xml:space="preserve"> importance globale et locale du nouveau modèle  </w:t>
      </w:r>
    </w:p>
    <w:p w14:paraId="28374C45" w14:textId="77777777" w:rsidR="0056023B" w:rsidRDefault="0056023B" w:rsidP="0056023B">
      <w:pPr>
        <w:pStyle w:val="Listepuces"/>
        <w:numPr>
          <w:ilvl w:val="0"/>
          <w:numId w:val="0"/>
        </w:numPr>
        <w:ind w:left="360" w:hanging="360"/>
        <w:jc w:val="both"/>
        <w:rPr>
          <w:b/>
          <w:bCs/>
          <w:sz w:val="28"/>
          <w:szCs w:val="28"/>
        </w:rPr>
      </w:pPr>
    </w:p>
    <w:p w14:paraId="60E014DE" w14:textId="6F725336" w:rsidR="0056023B" w:rsidRDefault="0056023B" w:rsidP="0056023B">
      <w:pPr>
        <w:pStyle w:val="Listepuces"/>
        <w:numPr>
          <w:ilvl w:val="0"/>
          <w:numId w:val="0"/>
        </w:numPr>
        <w:ind w:left="360" w:hanging="360"/>
        <w:jc w:val="both"/>
        <w:rPr>
          <w:b/>
          <w:bCs/>
          <w:sz w:val="28"/>
          <w:szCs w:val="28"/>
        </w:rPr>
      </w:pPr>
      <w:r>
        <w:rPr>
          <w:b/>
          <w:bCs/>
          <w:sz w:val="28"/>
          <w:szCs w:val="28"/>
        </w:rPr>
        <w:t xml:space="preserve">5.1. </w:t>
      </w:r>
      <w:r w:rsidRPr="0056023B">
        <w:rPr>
          <w:b/>
          <w:bCs/>
        </w:rPr>
        <w:t xml:space="preserve">Importance globale des </w:t>
      </w:r>
      <w:proofErr w:type="spellStart"/>
      <w:r w:rsidRPr="0056023B">
        <w:rPr>
          <w:b/>
          <w:bCs/>
        </w:rPr>
        <w:t>features</w:t>
      </w:r>
      <w:proofErr w:type="spellEnd"/>
    </w:p>
    <w:p w14:paraId="3EE7FA97" w14:textId="77777777" w:rsidR="0056023B" w:rsidRPr="0056023B" w:rsidRDefault="0056023B" w:rsidP="0056023B">
      <w:r w:rsidRPr="0056023B">
        <w:t xml:space="preserve">L’analyse globale de l’importance des variables repose sur les coefficients de la régression logistique entraînée. Elle permet d’identifier les facteurs qui influencent, en moyenne, le risque de </w:t>
      </w:r>
      <w:proofErr w:type="spellStart"/>
      <w:r w:rsidRPr="0056023B">
        <w:t>churn</w:t>
      </w:r>
      <w:proofErr w:type="spellEnd"/>
      <w:r w:rsidRPr="0056023B">
        <w:t xml:space="preserve"> sur l’ensemble des employés. Les coefficients positifs correspondent à des variables qui augmentent la probabilité de départ, tandis que les coefficients négatifs traduisent un effet protecteur.</w:t>
      </w:r>
    </w:p>
    <w:p w14:paraId="64853E75" w14:textId="77777777" w:rsidR="0056023B" w:rsidRPr="0056023B" w:rsidRDefault="0056023B" w:rsidP="0056023B">
      <w:r w:rsidRPr="0056023B">
        <w:t xml:space="preserve">Les résultats montrent que le modèle s’appuie principalement sur des variables catégorielles, en particulier celles liées au genre et à la localisation du travail. Certaines modalités du genre (Female, Male) apparaissent comme fortement associées à une </w:t>
      </w:r>
      <w:r w:rsidRPr="0056023B">
        <w:lastRenderedPageBreak/>
        <w:t xml:space="preserve">augmentation du risque de </w:t>
      </w:r>
      <w:proofErr w:type="spellStart"/>
      <w:r w:rsidRPr="0056023B">
        <w:t>churn</w:t>
      </w:r>
      <w:proofErr w:type="spellEnd"/>
      <w:r w:rsidRPr="0056023B">
        <w:t>, tandis que d’autres (Other) ont un effet inverse. De même, le travail en mode hybride ou à distance est associé à une hausse du risque de départ, alors que le travail sur site tend à jouer un rôle protecteur.</w:t>
      </w:r>
    </w:p>
    <w:p w14:paraId="66B9F2E8" w14:textId="77777777" w:rsidR="0056023B" w:rsidRPr="0056023B" w:rsidRDefault="0056023B" w:rsidP="0056023B">
      <w:r w:rsidRPr="0056023B">
        <w:t xml:space="preserve">À l’inverse, des variables souvent considérées comme importantes dans les problématiques de départ volontaire, telles que l’ancienneté, le volume d’heures travaillées ou la charge de travail, présentent ici un impact global plus modéré. Cela suggère que, dans ce jeu de données spécifique, le </w:t>
      </w:r>
      <w:proofErr w:type="spellStart"/>
      <w:r w:rsidRPr="0056023B">
        <w:t>churn</w:t>
      </w:r>
      <w:proofErr w:type="spellEnd"/>
      <w:r w:rsidRPr="0056023B">
        <w:t xml:space="preserve"> n’est pas principalement expliqué par des facteurs liés à l’intensité du travail ou au surmenage.</w:t>
      </w:r>
    </w:p>
    <w:p w14:paraId="09D9DDCA" w14:textId="061E4F33" w:rsidR="0056023B" w:rsidRDefault="0056023B" w:rsidP="0056023B">
      <w:r w:rsidRPr="0056023B">
        <w:t xml:space="preserve">Ces résultats doivent toutefois être interprétés avec prudence. Le poids important de variables sensibles, comme le genre, ne doit pas être compris comme une causalité directe, mais plutôt comme un signal sur la structure ou les biais potentiels du jeu de données. </w:t>
      </w:r>
    </w:p>
    <w:p w14:paraId="0470A3AB" w14:textId="21A14112" w:rsidR="0056023B" w:rsidRDefault="0056023B" w:rsidP="0056023B">
      <w:pPr>
        <w:rPr>
          <w:b/>
          <w:bCs/>
        </w:rPr>
      </w:pPr>
      <w:r w:rsidRPr="0056023B">
        <w:rPr>
          <w:b/>
          <w:bCs/>
        </w:rPr>
        <w:t xml:space="preserve">5.2. </w:t>
      </w:r>
      <w:r w:rsidRPr="0056023B">
        <w:rPr>
          <w:b/>
          <w:bCs/>
        </w:rPr>
        <w:t xml:space="preserve">Importance locale des </w:t>
      </w:r>
      <w:proofErr w:type="spellStart"/>
      <w:r w:rsidRPr="0056023B">
        <w:rPr>
          <w:b/>
          <w:bCs/>
        </w:rPr>
        <w:t>features</w:t>
      </w:r>
      <w:proofErr w:type="spellEnd"/>
    </w:p>
    <w:p w14:paraId="0C476FEC" w14:textId="77777777" w:rsidR="0056023B" w:rsidRPr="0056023B" w:rsidRDefault="0056023B" w:rsidP="0056023B">
      <w:r w:rsidRPr="0056023B">
        <w:t xml:space="preserve">En complément de l’analyse globale, une analyse de l’importance locale des </w:t>
      </w:r>
      <w:proofErr w:type="spellStart"/>
      <w:r w:rsidRPr="0056023B">
        <w:t>features</w:t>
      </w:r>
      <w:proofErr w:type="spellEnd"/>
      <w:r w:rsidRPr="0056023B">
        <w:t xml:space="preserve"> a été réalisée afin d’expliquer la prédiction du modèle pour un employé précis. L’exemple présenté correspond à l’employé pour lequel le modèle prédit le risque de </w:t>
      </w:r>
      <w:proofErr w:type="spellStart"/>
      <w:r w:rsidRPr="0056023B">
        <w:t>churn</w:t>
      </w:r>
      <w:proofErr w:type="spellEnd"/>
      <w:r w:rsidRPr="0056023B">
        <w:t xml:space="preserve"> le plus élevé dans le jeu de test. L’objectif n’est pas de généraliser ce cas, mais d’illustrer concrètement comment le modèle combine les variables pour produire un score individuel.</w:t>
      </w:r>
    </w:p>
    <w:p w14:paraId="2B9D6F4D" w14:textId="77777777" w:rsidR="0056023B" w:rsidRPr="0056023B" w:rsidRDefault="0056023B" w:rsidP="0056023B">
      <w:r w:rsidRPr="0056023B">
        <w:t xml:space="preserve">L’analyse montre que, pour cet employé, plusieurs variables contribuent fortement à l’augmentation du risque de </w:t>
      </w:r>
      <w:proofErr w:type="spellStart"/>
      <w:r w:rsidRPr="0056023B">
        <w:t>churn</w:t>
      </w:r>
      <w:proofErr w:type="spellEnd"/>
      <w:r w:rsidRPr="0056023B">
        <w:t>. Parmi les facteurs les plus influents figurent le genre (</w:t>
      </w:r>
      <w:proofErr w:type="spellStart"/>
      <w:r w:rsidRPr="0056023B">
        <w:t>cat_Gender_Female</w:t>
      </w:r>
      <w:proofErr w:type="spellEnd"/>
      <w:r w:rsidRPr="0056023B">
        <w:t>), le nombre moyen d’heures mensuelles travaillées, l’ancienneté ainsi que l’évaluation de performance. Un mauvais équilibre vie professionnelle / vie personnelle apparaît également comme un facteur aggravant dans ce cas précis. Ces variables, bien que d’importance variable au niveau global, jouent ici un rôle déterminant dans la prédiction individuelle.</w:t>
      </w:r>
    </w:p>
    <w:p w14:paraId="51C3AA26" w14:textId="77777777" w:rsidR="0056023B" w:rsidRPr="0056023B" w:rsidRDefault="0056023B" w:rsidP="0056023B">
      <w:r w:rsidRPr="0056023B">
        <w:t xml:space="preserve">À l’inverse, certaines variables ont un effet protecteur et contribuent à réduire le risque de </w:t>
      </w:r>
      <w:proofErr w:type="spellStart"/>
      <w:r w:rsidRPr="0056023B">
        <w:t>churn</w:t>
      </w:r>
      <w:proofErr w:type="spellEnd"/>
      <w:r w:rsidRPr="0056023B">
        <w:t xml:space="preserve"> pour cet employé. C’est notamment le cas du statut marital (Married) ou du fait de travailler sur site (On-site), qui viennent compenser partiellement les facteurs de risque identifiés précédemment. Cette opposition entre variables aggravantes et variables protectrices est clairement visible dans la représentation graphique des contributions locales.</w:t>
      </w:r>
    </w:p>
    <w:p w14:paraId="5A635117" w14:textId="77777777" w:rsidR="0056023B" w:rsidRPr="0056023B" w:rsidRDefault="0056023B" w:rsidP="0056023B">
      <w:r w:rsidRPr="0056023B">
        <w:t>Cette analyse met en évidence un point essentiel : les variables les plus importantes au niveau global ne sont pas nécessairement celles qui expliquent le plus une prédiction individuelle, et inversement. L’intérêt de l’approche locale réside précisément dans cette capacité à fournir une explication contextualisée, propre à chaque employé, plutôt qu’une lecture moyenne sur l’ensemble de la population.</w:t>
      </w:r>
    </w:p>
    <w:p w14:paraId="2F2ABEAA" w14:textId="77777777" w:rsidR="0056023B" w:rsidRPr="0056023B" w:rsidRDefault="0056023B" w:rsidP="0056023B">
      <w:r w:rsidRPr="0056023B">
        <w:lastRenderedPageBreak/>
        <w:t>Dans un contexte RH, ce type d’analyse permettrait d’utiliser le modèle comme un outil d’aide à la décision, en identifiant les leviers potentiels d’action pour un profil donné, sans pour autant interpréter ces résultats comme des causes directes ou des vérités absolues.</w:t>
      </w:r>
    </w:p>
    <w:p w14:paraId="03AC6A64" w14:textId="0F440E7A" w:rsidR="00FA606D" w:rsidRPr="00DB4E01" w:rsidRDefault="00FA606D" w:rsidP="0056023B">
      <w:pPr>
        <w:rPr>
          <w:b/>
          <w:bCs/>
          <w:color w:val="0070C0"/>
          <w:sz w:val="32"/>
          <w:szCs w:val="32"/>
        </w:rPr>
      </w:pPr>
      <w:r w:rsidRPr="00DB4E01">
        <w:rPr>
          <w:b/>
          <w:bCs/>
          <w:color w:val="0070C0"/>
          <w:sz w:val="32"/>
          <w:szCs w:val="32"/>
        </w:rPr>
        <w:t>6. Limites de l’approche et pistes d’amélioration</w:t>
      </w:r>
    </w:p>
    <w:p w14:paraId="3E9B4C71" w14:textId="18AE01FB" w:rsidR="00FA606D" w:rsidRPr="00FA606D" w:rsidRDefault="00FA606D" w:rsidP="0056023B">
      <w:pPr>
        <w:rPr>
          <w:b/>
          <w:bCs/>
        </w:rPr>
      </w:pPr>
      <w:r w:rsidRPr="00FA606D">
        <w:rPr>
          <w:b/>
          <w:bCs/>
        </w:rPr>
        <w:t>6.1</w:t>
      </w:r>
      <w:r w:rsidRPr="00FA606D">
        <w:rPr>
          <w:b/>
          <w:bCs/>
        </w:rPr>
        <w:t>.</w:t>
      </w:r>
      <w:r w:rsidRPr="00FA606D">
        <w:rPr>
          <w:b/>
          <w:bCs/>
        </w:rPr>
        <w:t xml:space="preserve"> Limites de l’expérimentation</w:t>
      </w:r>
    </w:p>
    <w:p w14:paraId="6D202A99" w14:textId="77777777" w:rsidR="00FA606D" w:rsidRPr="00FA606D" w:rsidRDefault="00FA606D" w:rsidP="00FA606D">
      <w:r w:rsidRPr="00FA606D">
        <w:t xml:space="preserve">La principale limite de cette expérimentation concerne les performances des modèles en prédiction binaire. Les modèles testés parviennent à détecter une grande partie des employés qui quittent l’entreprise, ce qui se traduit par un </w:t>
      </w:r>
      <w:proofErr w:type="spellStart"/>
      <w:r w:rsidRPr="00FA606D">
        <w:t>recall</w:t>
      </w:r>
      <w:proofErr w:type="spellEnd"/>
      <w:r w:rsidRPr="00FA606D">
        <w:t xml:space="preserve"> élevé, mais au prix d’une précision faible. En pratique, cela signifie que de nombreux employés sont identifiés comme “à risque” alors qu’ils ne quitteront finalement pas l’entreprise.</w:t>
      </w:r>
    </w:p>
    <w:p w14:paraId="060F3316" w14:textId="77777777" w:rsidR="00FA606D" w:rsidRPr="00FA606D" w:rsidRDefault="00FA606D" w:rsidP="00FA606D">
      <w:r w:rsidRPr="00FA606D">
        <w:t xml:space="preserve">Ce comportement n’est pas anodin et doit être interprété à la lumière du contexte métier. Dans une problématique de </w:t>
      </w:r>
      <w:proofErr w:type="spellStart"/>
      <w:r w:rsidRPr="00FA606D">
        <w:t>churn</w:t>
      </w:r>
      <w:proofErr w:type="spellEnd"/>
      <w:r w:rsidRPr="00FA606D">
        <w:t xml:space="preserve">, les faux négatifs (ne pas détecter un employé qui va réellement partir) sont particulièrement coûteux. Un départ non anticipé entraîne des coûts importants liés à la désorganisation des équipes, aux démarches administratives, au recrutement et à la formation de nouveaux collaborateurs. À l’inverse, un faux positif peut conduire à une action de prévention inutile, mais généralement moins coûteuse. C’est pour cette raison que l’expérimentation s’est volontairement concentrée sur le </w:t>
      </w:r>
      <w:proofErr w:type="spellStart"/>
      <w:r w:rsidRPr="00FA606D">
        <w:t>recall</w:t>
      </w:r>
      <w:proofErr w:type="spellEnd"/>
      <w:r w:rsidRPr="00FA606D">
        <w:t xml:space="preserve"> de la classe </w:t>
      </w:r>
      <w:proofErr w:type="spellStart"/>
      <w:r w:rsidRPr="00FA606D">
        <w:t>churn</w:t>
      </w:r>
      <w:proofErr w:type="spellEnd"/>
      <w:r w:rsidRPr="00FA606D">
        <w:t>, afin de limiter au maximum les cas de départ non détectés.</w:t>
      </w:r>
    </w:p>
    <w:p w14:paraId="10277E14" w14:textId="77777777" w:rsidR="00FA606D" w:rsidRPr="00FA606D" w:rsidRDefault="00FA606D" w:rsidP="00FA606D">
      <w:r w:rsidRPr="00FA606D">
        <w:t xml:space="preserve">Une autre limite tient aux données disponibles. Le </w:t>
      </w:r>
      <w:proofErr w:type="spellStart"/>
      <w:r w:rsidRPr="00FA606D">
        <w:t>churn</w:t>
      </w:r>
      <w:proofErr w:type="spellEnd"/>
      <w:r w:rsidRPr="00FA606D">
        <w:t xml:space="preserve"> est un phénomène complexe, influencé par des éléments qui ne sont pas toujours mesurables dans un jeu de données tabulaire (motivation personnelle, opportunités externes, contexte individuel). Les variables utilisées ne permettent donc pas de capturer l’ensemble des raisons pouvant conduire un employé à quitter l’entreprise, ce qui limite naturellement la capacité des modèles à être très précis.</w:t>
      </w:r>
    </w:p>
    <w:p w14:paraId="561C89C0" w14:textId="77777777" w:rsidR="00FA606D" w:rsidRPr="00FA606D" w:rsidRDefault="00FA606D" w:rsidP="00FA606D">
      <w:r w:rsidRPr="00FA606D">
        <w:t xml:space="preserve">Enfin, l’analyse des variables importantes a mis en évidence le poids de certaines variables sensibles, comme le genre ou la localisation du travail. Ces résultats doivent être interprétés avec prudence et ne doivent pas être considérés comme des causes directes du </w:t>
      </w:r>
      <w:proofErr w:type="spellStart"/>
      <w:r w:rsidRPr="00FA606D">
        <w:t>churn</w:t>
      </w:r>
      <w:proofErr w:type="spellEnd"/>
      <w:r w:rsidRPr="00FA606D">
        <w:t>, mais plutôt comme des indicateurs liés à la structure du jeu de données.</w:t>
      </w:r>
    </w:p>
    <w:p w14:paraId="50320765" w14:textId="07DB5458" w:rsidR="00FA606D" w:rsidRPr="00FA606D" w:rsidRDefault="00FA606D" w:rsidP="0056023B">
      <w:r w:rsidRPr="00FA606D">
        <w:rPr>
          <w:b/>
          <w:bCs/>
        </w:rPr>
        <w:t>6.2 Pistes d’amélioration et perspectives</w:t>
      </w:r>
    </w:p>
    <w:p w14:paraId="27B56BFB" w14:textId="77777777" w:rsidR="00FA606D" w:rsidRPr="00FA606D" w:rsidRDefault="00FA606D" w:rsidP="00FA606D">
      <w:r w:rsidRPr="00FA606D">
        <w:t>Plusieurs pistes d’amélioration peuvent être envisagées pour renforcer cette approche. La première consiste à enrichir les données, en intégrant des informations plus qualitatives ou contextuelles, par exemple liées à la satisfaction des employés, à leur évolution de carrière ou au climat social. Ces éléments pourraient permettre de mieux différencier les profils réellement à risque.</w:t>
      </w:r>
    </w:p>
    <w:p w14:paraId="75FC332E" w14:textId="77777777" w:rsidR="00FA606D" w:rsidRPr="00FA606D" w:rsidRDefault="00FA606D" w:rsidP="00FA606D">
      <w:r w:rsidRPr="00FA606D">
        <w:lastRenderedPageBreak/>
        <w:t xml:space="preserve">Sur le plan de l’utilisation du modèle, les résultats obtenus montrent que celui-ci est davantage adapté à une logique de </w:t>
      </w:r>
      <w:proofErr w:type="spellStart"/>
      <w:r w:rsidRPr="00FA606D">
        <w:t>scoring</w:t>
      </w:r>
      <w:proofErr w:type="spellEnd"/>
      <w:r w:rsidRPr="00FA606D">
        <w:t xml:space="preserve"> qu’à une prédiction binaire stricte. Le score de </w:t>
      </w:r>
      <w:proofErr w:type="spellStart"/>
      <w:r w:rsidRPr="00FA606D">
        <w:t>churn</w:t>
      </w:r>
      <w:proofErr w:type="spellEnd"/>
      <w:r w:rsidRPr="00FA606D">
        <w:t xml:space="preserve"> peut être utilisé comme un indicateur de risque, permettant de prioriser les actions RH et d’orienter des analyses ou des échanges avec les employés identifiés comme les plus exposés, sans affirmer qu’un départ est certain.</w:t>
      </w:r>
    </w:p>
    <w:p w14:paraId="674451FC" w14:textId="77777777" w:rsidR="00FA606D" w:rsidRPr="00FA606D" w:rsidRDefault="00FA606D" w:rsidP="00FA606D">
      <w:r w:rsidRPr="00FA606D">
        <w:t xml:space="preserve">Enfin, toute utilisation opérationnelle de ce type de modèle doit rester encadrée et s’inscrire dans une démarche combinant analyse quantitative et expertise métier. Le modèle ne doit pas être perçu comme un outil de décision automatique, mais comme un support d’aide à la décision permettant d’anticiper et de mieux gérer les risques de </w:t>
      </w:r>
      <w:proofErr w:type="spellStart"/>
      <w:r w:rsidRPr="00FA606D">
        <w:t>churn</w:t>
      </w:r>
      <w:proofErr w:type="spellEnd"/>
      <w:r w:rsidRPr="00FA606D">
        <w:t>.</w:t>
      </w:r>
    </w:p>
    <w:p w14:paraId="40B48675" w14:textId="77777777" w:rsidR="00FA606D" w:rsidRPr="0056023B" w:rsidRDefault="00FA606D" w:rsidP="0056023B">
      <w:pPr>
        <w:rPr>
          <w:b/>
          <w:bCs/>
        </w:rPr>
      </w:pPr>
    </w:p>
    <w:p w14:paraId="0CDB3B8E" w14:textId="77777777" w:rsidR="0056023B" w:rsidRPr="0056023B" w:rsidRDefault="0056023B" w:rsidP="0056023B">
      <w:pPr>
        <w:pStyle w:val="Listepuces"/>
        <w:numPr>
          <w:ilvl w:val="0"/>
          <w:numId w:val="0"/>
        </w:numPr>
        <w:ind w:left="360" w:hanging="360"/>
        <w:jc w:val="both"/>
      </w:pPr>
    </w:p>
    <w:sectPr w:rsidR="0056023B" w:rsidRPr="005602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B062988"/>
    <w:lvl w:ilvl="0">
      <w:start w:val="1"/>
      <w:numFmt w:val="bullet"/>
      <w:pStyle w:val="Listepuces"/>
      <w:lvlText w:val=""/>
      <w:lvlJc w:val="left"/>
      <w:pPr>
        <w:tabs>
          <w:tab w:val="num" w:pos="360"/>
        </w:tabs>
        <w:ind w:left="360" w:hanging="360"/>
      </w:pPr>
      <w:rPr>
        <w:rFonts w:ascii="Symbol" w:hAnsi="Symbol" w:hint="default"/>
      </w:rPr>
    </w:lvl>
  </w:abstractNum>
  <w:num w:numId="1" w16cid:durableId="1070734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E1A"/>
    <w:rsid w:val="00151308"/>
    <w:rsid w:val="002E00A0"/>
    <w:rsid w:val="00447015"/>
    <w:rsid w:val="00482782"/>
    <w:rsid w:val="00513490"/>
    <w:rsid w:val="0056023B"/>
    <w:rsid w:val="006E1A73"/>
    <w:rsid w:val="00760E1A"/>
    <w:rsid w:val="007A6B2C"/>
    <w:rsid w:val="00A20557"/>
    <w:rsid w:val="00B52410"/>
    <w:rsid w:val="00D95369"/>
    <w:rsid w:val="00DB4E01"/>
    <w:rsid w:val="00DD740C"/>
    <w:rsid w:val="00E33FD0"/>
    <w:rsid w:val="00FA60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90B0A"/>
  <w15:chartTrackingRefBased/>
  <w15:docId w15:val="{D38274F1-C508-45E4-B113-7281ADB84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60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60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60E1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60E1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60E1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60E1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60E1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60E1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60E1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60E1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60E1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60E1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60E1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60E1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60E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60E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60E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60E1A"/>
    <w:rPr>
      <w:rFonts w:eastAsiaTheme="majorEastAsia" w:cstheme="majorBidi"/>
      <w:color w:val="272727" w:themeColor="text1" w:themeTint="D8"/>
    </w:rPr>
  </w:style>
  <w:style w:type="paragraph" w:styleId="Titre">
    <w:name w:val="Title"/>
    <w:basedOn w:val="Normal"/>
    <w:next w:val="Normal"/>
    <w:link w:val="TitreCar"/>
    <w:uiPriority w:val="10"/>
    <w:qFormat/>
    <w:rsid w:val="00760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60E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60E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60E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60E1A"/>
    <w:pPr>
      <w:spacing w:before="160"/>
      <w:jc w:val="center"/>
    </w:pPr>
    <w:rPr>
      <w:i/>
      <w:iCs/>
      <w:color w:val="404040" w:themeColor="text1" w:themeTint="BF"/>
    </w:rPr>
  </w:style>
  <w:style w:type="character" w:customStyle="1" w:styleId="CitationCar">
    <w:name w:val="Citation Car"/>
    <w:basedOn w:val="Policepardfaut"/>
    <w:link w:val="Citation"/>
    <w:uiPriority w:val="29"/>
    <w:rsid w:val="00760E1A"/>
    <w:rPr>
      <w:i/>
      <w:iCs/>
      <w:color w:val="404040" w:themeColor="text1" w:themeTint="BF"/>
    </w:rPr>
  </w:style>
  <w:style w:type="paragraph" w:styleId="Paragraphedeliste">
    <w:name w:val="List Paragraph"/>
    <w:basedOn w:val="Normal"/>
    <w:uiPriority w:val="34"/>
    <w:qFormat/>
    <w:rsid w:val="00760E1A"/>
    <w:pPr>
      <w:ind w:left="720"/>
      <w:contextualSpacing/>
    </w:pPr>
  </w:style>
  <w:style w:type="character" w:styleId="Accentuationintense">
    <w:name w:val="Intense Emphasis"/>
    <w:basedOn w:val="Policepardfaut"/>
    <w:uiPriority w:val="21"/>
    <w:qFormat/>
    <w:rsid w:val="00760E1A"/>
    <w:rPr>
      <w:i/>
      <w:iCs/>
      <w:color w:val="0F4761" w:themeColor="accent1" w:themeShade="BF"/>
    </w:rPr>
  </w:style>
  <w:style w:type="paragraph" w:styleId="Citationintense">
    <w:name w:val="Intense Quote"/>
    <w:basedOn w:val="Normal"/>
    <w:next w:val="Normal"/>
    <w:link w:val="CitationintenseCar"/>
    <w:uiPriority w:val="30"/>
    <w:qFormat/>
    <w:rsid w:val="00760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60E1A"/>
    <w:rPr>
      <w:i/>
      <w:iCs/>
      <w:color w:val="0F4761" w:themeColor="accent1" w:themeShade="BF"/>
    </w:rPr>
  </w:style>
  <w:style w:type="character" w:styleId="Rfrenceintense">
    <w:name w:val="Intense Reference"/>
    <w:basedOn w:val="Policepardfaut"/>
    <w:uiPriority w:val="32"/>
    <w:qFormat/>
    <w:rsid w:val="00760E1A"/>
    <w:rPr>
      <w:b/>
      <w:bCs/>
      <w:smallCaps/>
      <w:color w:val="0F4761" w:themeColor="accent1" w:themeShade="BF"/>
      <w:spacing w:val="5"/>
    </w:rPr>
  </w:style>
  <w:style w:type="paragraph" w:styleId="Listepuces">
    <w:name w:val="List Bullet"/>
    <w:basedOn w:val="Normal"/>
    <w:uiPriority w:val="99"/>
    <w:unhideWhenUsed/>
    <w:rsid w:val="00760E1A"/>
    <w:pPr>
      <w:numPr>
        <w:numId w:val="1"/>
      </w:numPr>
      <w:contextualSpacing/>
    </w:pPr>
  </w:style>
  <w:style w:type="paragraph" w:styleId="NormalWeb">
    <w:name w:val="Normal (Web)"/>
    <w:basedOn w:val="Normal"/>
    <w:uiPriority w:val="99"/>
    <w:semiHidden/>
    <w:unhideWhenUsed/>
    <w:rsid w:val="00A205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8</Pages>
  <Words>1934</Words>
  <Characters>17411</Characters>
  <Application>Microsoft Office Word</Application>
  <DocSecurity>0</DocSecurity>
  <Lines>967</Lines>
  <Paragraphs>1018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ANDRIEU Mickaël</dc:creator>
  <cp:keywords/>
  <dc:description/>
  <cp:lastModifiedBy>ANDRIEU Mickaël</cp:lastModifiedBy>
  <cp:revision>15</cp:revision>
  <dcterms:created xsi:type="dcterms:W3CDTF">2026-01-19T23:07:00Z</dcterms:created>
  <dcterms:modified xsi:type="dcterms:W3CDTF">2026-01-20T02:11:00Z</dcterms:modified>
</cp:coreProperties>
</file>