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研究室共通AIコーディング環境の試行と利用行動研究に関する相談</w:t>
      </w:r>
    </w:p>
    <w:p>
      <w:r>
        <w:t>教授への相談資料　｜　2026年9月28日　｜　作成者：鈴木 啓太</w:t>
      </w:r>
    </w:p>
    <w:p>
      <w:r>
        <w:t>研究室メンバーが日常の開発で使えるAIコーディング環境を試験導入し、その利用行動の変化を本人の同意のもとで調べたいと考えています。まずは、研究室で小規模な実証を準備・実施してよいか、研究倫理上の手続と運用条件を含めてご相談したいです。全員への導入や本収集は、試験結果を見て改めて判断いただく想定です。</w:t>
      </w:r>
    </w:p>
    <w:p>
      <w:pPr>
        <w:pStyle w:val="Heading1"/>
      </w:pPr>
      <w:r>
        <w:t>1 研究の狙いと研究室にとっての意義</w:t>
      </w:r>
    </w:p>
    <w:p>
      <w:r>
        <w:t>仮の研究目的は「AIコーディングエージェントの継続利用におけるユーザーの利用行動の特徴と、その時間的変化を明らかにする」ことです。依頼の種類、利用頻度、修正指示、ツール利用などが導入後にどう変わるかを、実際の研究・制作活動に近い場面で観察します。研究室には、AI開発環境の導入手順と利用上の知見が残ります。</w:t>
      </w:r>
    </w:p>
    <w:p>
      <w:r>
        <w:t>環境を配ること自体が利用行動に影響するため、結果は「導入された環境での変化」として解釈します。研究参加者の少なさや自発的な利用の偏りを踏まえ、因果効果や研究室全体への一般化を安易に主張しません。</w:t>
      </w:r>
    </w:p>
    <w:p>
      <w:pPr>
        <w:pStyle w:val="Heading1"/>
      </w:pPr>
      <w:r>
        <w:t>2 実施案</w:t>
      </w:r>
    </w:p>
    <w:tbl>
      <w:tblPr>
        <w:tblW w:type="auto" w:w="0"/>
        <w:jc w:val="center"/>
        <w:tblLayout w:type="fixed"/>
        <w:tblLook w:firstColumn="1" w:firstRow="1" w:lastColumn="0" w:lastRow="0" w:noHBand="0" w:noVBand="1" w:val="04A0"/>
      </w:tblPr>
      <w:tblGrid>
        <w:gridCol w:w="3312"/>
        <w:gridCol w:w="3312"/>
        <w:gridCol w:w="3312"/>
      </w:tblGrid>
      <w:tr>
        <w:tc>
          <w:tcPr>
            <w:tcW w:type="dxa" w:w="1440"/>
            <w:vAlign w:val="center"/>
            <w:shd w:fill="E8EEF5"/>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b/>
                <w:sz w:val="17"/>
              </w:rPr>
              <w:t>段階</w:t>
            </w:r>
          </w:p>
        </w:tc>
        <w:tc>
          <w:tcPr>
            <w:tcW w:type="dxa" w:w="4608"/>
            <w:vAlign w:val="center"/>
            <w:shd w:fill="E8EEF5"/>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b/>
                <w:sz w:val="17"/>
              </w:rPr>
              <w:t>研究者側の作業</w:t>
            </w:r>
          </w:p>
        </w:tc>
        <w:tc>
          <w:tcPr>
            <w:tcW w:type="dxa" w:w="3744"/>
            <w:vAlign w:val="center"/>
            <w:shd w:fill="E8EEF5"/>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b/>
                <w:sz w:val="17"/>
              </w:rPr>
              <w:t>参加者の作業・判断</w:t>
            </w:r>
          </w:p>
        </w:tc>
      </w:tr>
      <w:tr>
        <w:tc>
          <w:tcPr>
            <w:tcW w:type="dxa" w:w="1440"/>
            <w:vAlign w:val="center"/>
            <w:shd w:fill="FFFFFF"/>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準備</w:t>
            </w:r>
          </w:p>
        </w:tc>
        <w:tc>
          <w:tcPr>
            <w:tcW w:type="dxa" w:w="4608"/>
            <w:vAlign w:val="center"/>
            <w:shd w:fill="FFFFFF"/>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研究計画、同意説明、収集項目、保存・削除手順を確定。候補製品の料金・規約・ログ取得を確認。</w:t>
            </w:r>
          </w:p>
        </w:tc>
        <w:tc>
          <w:tcPr>
            <w:tcW w:type="dxa" w:w="3744"/>
            <w:vAlign w:val="center"/>
            <w:shd w:fill="FFFFFF"/>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参加の意思表示はまだ求めない。</w:t>
            </w:r>
          </w:p>
        </w:tc>
      </w:tr>
      <w:tr>
        <w:tc>
          <w:tcPr>
            <w:tcW w:type="dxa" w:w="1440"/>
            <w:vAlign w:val="center"/>
            <w:shd w:fill="F8FAFC"/>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小規模試行</w:t>
            </w:r>
          </w:p>
        </w:tc>
        <w:tc>
          <w:tcPr>
            <w:tcW w:type="dxa" w:w="4608"/>
            <w:vAlign w:val="center"/>
            <w:shd w:fill="F8FAFC"/>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希望者2～3名程度で設置、ログ欠損、機微情報の混入、負荷、費用を確認。</w:t>
            </w:r>
          </w:p>
        </w:tc>
        <w:tc>
          <w:tcPr>
            <w:tcW w:type="dxa" w:w="3744"/>
            <w:vAlign w:val="center"/>
            <w:shd w:fill="F8FAFC"/>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説明を受け、同意した人のみ初回設定と通常利用。</w:t>
            </w:r>
          </w:p>
        </w:tc>
      </w:tr>
      <w:tr>
        <w:tc>
          <w:tcPr>
            <w:tcW w:type="dxa" w:w="1440"/>
            <w:vAlign w:val="center"/>
            <w:shd w:fill="FFFFFF"/>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本実施</w:t>
            </w:r>
          </w:p>
        </w:tc>
        <w:tc>
          <w:tcPr>
            <w:tcW w:type="dxa" w:w="4608"/>
            <w:vAlign w:val="center"/>
            <w:shd w:fill="FFFFFF"/>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試行結果を報告し、承認後に募集。期間は4～8週間を仮置きし、収集状態を監視。</w:t>
            </w:r>
          </w:p>
        </w:tc>
        <w:tc>
          <w:tcPr>
            <w:tcW w:type="dxa" w:w="3744"/>
            <w:vAlign w:val="center"/>
            <w:shd w:fill="FFFFFF"/>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希望者が通常の開発で利用。ログ提出作業は不要。</w:t>
            </w:r>
          </w:p>
        </w:tc>
      </w:tr>
      <w:tr>
        <w:tc>
          <w:tcPr>
            <w:tcW w:type="dxa" w:w="1440"/>
            <w:vAlign w:val="center"/>
            <w:shd w:fill="F8FAFC"/>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終了・分析</w:t>
            </w:r>
          </w:p>
        </w:tc>
        <w:tc>
          <w:tcPr>
            <w:tcW w:type="dxa" w:w="4608"/>
            <w:vAlign w:val="center"/>
            <w:shd w:fill="F8FAFC"/>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収集を停止し、欠損・除外を記録。集計データで時間的変化を分析。</w:t>
            </w:r>
          </w:p>
        </w:tc>
        <w:tc>
          <w:tcPr>
            <w:tcW w:type="dxa" w:w="3744"/>
            <w:vAlign w:val="center"/>
            <w:shd w:fill="F8FAFC"/>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希望に応じて収集停止・データ削除を申請。</w:t>
            </w:r>
          </w:p>
        </w:tc>
      </w:tr>
    </w:tbl>
    <w:p>
      <w:pPr>
        <w:pStyle w:val="Heading1"/>
      </w:pPr>
      <w:r>
        <w:t>3 想定する仕組み</w:t>
      </w:r>
    </w:p>
    <w:p>
      <w:r>
        <w:t>各人のPCでエージェントのイベントを取得し、研究用IDを付け、必要な項目だけをローカルで一時保存します。通信可能時に暗号化通信で研究用サーバーへ自動送信し、送信済みを管理します。設定・アンインストール・収集停止を簡単に行える形で配布します。具体的な実装は候補製品の機能を検証して決めます。</w:t>
      </w:r>
    </w:p>
    <w:p>
      <w:pPr>
        <w:pStyle w:val="Heading1"/>
      </w:pPr>
      <w:r>
        <w:t>4 取得するデータの初期案</w:t>
      </w:r>
    </w:p>
    <w:tbl>
      <w:tblPr>
        <w:tblW w:type="auto" w:w="0"/>
        <w:jc w:val="center"/>
        <w:tblLayout w:type="fixed"/>
        <w:tblLook w:firstColumn="1" w:firstRow="1" w:lastColumn="0" w:lastRow="0" w:noHBand="0" w:noVBand="1" w:val="04A0"/>
      </w:tblPr>
      <w:tblGrid>
        <w:gridCol w:w="3312"/>
        <w:gridCol w:w="3312"/>
        <w:gridCol w:w="3312"/>
      </w:tblGrid>
      <w:tr>
        <w:tc>
          <w:tcPr>
            <w:tcW w:type="dxa" w:w="2376"/>
            <w:vAlign w:val="center"/>
            <w:shd w:fill="E8EEF5"/>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b/>
                <w:sz w:val="17"/>
              </w:rPr>
              <w:t>取得候補</w:t>
            </w:r>
          </w:p>
        </w:tc>
        <w:tc>
          <w:tcPr>
            <w:tcW w:type="dxa" w:w="3384"/>
            <w:vAlign w:val="center"/>
            <w:shd w:fill="E8EEF5"/>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b/>
                <w:sz w:val="17"/>
              </w:rPr>
              <w:t>研究上の用途</w:t>
            </w:r>
          </w:p>
        </w:tc>
        <w:tc>
          <w:tcPr>
            <w:tcW w:type="dxa" w:w="4032"/>
            <w:vAlign w:val="center"/>
            <w:shd w:fill="E8EEF5"/>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b/>
                <w:sz w:val="17"/>
              </w:rPr>
              <w:t>初期方針</w:t>
            </w:r>
          </w:p>
        </w:tc>
      </w:tr>
      <w:tr>
        <w:tc>
          <w:tcPr>
            <w:tcW w:type="dxa" w:w="2376"/>
            <w:vAlign w:val="center"/>
            <w:shd w:fill="FFFFFF"/>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研究用ID、時刻、セッション識別子</w:t>
            </w:r>
          </w:p>
        </w:tc>
        <w:tc>
          <w:tcPr>
            <w:tcW w:type="dxa" w:w="3384"/>
            <w:vAlign w:val="center"/>
            <w:shd w:fill="FFFFFF"/>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個人内の週ごとの変化、利用頻度</w:t>
            </w:r>
          </w:p>
        </w:tc>
        <w:tc>
          <w:tcPr>
            <w:tcW w:type="dxa" w:w="4032"/>
            <w:vAlign w:val="center"/>
            <w:shd w:fill="FFFFFF"/>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取得する</w:t>
            </w:r>
          </w:p>
        </w:tc>
      </w:tr>
      <w:tr>
        <w:tc>
          <w:tcPr>
            <w:tcW w:type="dxa" w:w="2376"/>
            <w:vAlign w:val="center"/>
            <w:shd w:fill="F8FAFC"/>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イベント種別、ツール名、所要時間、成否</w:t>
            </w:r>
          </w:p>
        </w:tc>
        <w:tc>
          <w:tcPr>
            <w:tcW w:type="dxa" w:w="3384"/>
            <w:vAlign w:val="center"/>
            <w:shd w:fill="F8FAFC"/>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依頼と作業の流れ、ツール利用の変化</w:t>
            </w:r>
          </w:p>
        </w:tc>
        <w:tc>
          <w:tcPr>
            <w:tcW w:type="dxa" w:w="4032"/>
            <w:vAlign w:val="center"/>
            <w:shd w:fill="F8FAFC"/>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取得する。ただしコマンド引数と出力本文は除外</w:t>
            </w:r>
          </w:p>
        </w:tc>
      </w:tr>
      <w:tr>
        <w:tc>
          <w:tcPr>
            <w:tcW w:type="dxa" w:w="2376"/>
            <w:vAlign w:val="center"/>
            <w:shd w:fill="FFFFFF"/>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プロンプト・回答の本文</w:t>
            </w:r>
          </w:p>
        </w:tc>
        <w:tc>
          <w:tcPr>
            <w:tcW w:type="dxa" w:w="3384"/>
            <w:vAlign w:val="center"/>
            <w:shd w:fill="FFFFFF"/>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依頼内容と修正指示の質的分析</w:t>
            </w:r>
          </w:p>
        </w:tc>
        <w:tc>
          <w:tcPr>
            <w:tcW w:type="dxa" w:w="4032"/>
            <w:vAlign w:val="center"/>
            <w:shd w:fill="FFFFFF"/>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初期試行では中央送信しない。必要性と追加同意を別途検討</w:t>
            </w:r>
          </w:p>
        </w:tc>
      </w:tr>
      <w:tr>
        <w:tc>
          <w:tcPr>
            <w:tcW w:type="dxa" w:w="2376"/>
            <w:vAlign w:val="center"/>
            <w:shd w:fill="F8FAFC"/>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コード、ファイル名、絶対パス、認証情報</w:t>
            </w:r>
          </w:p>
        </w:tc>
        <w:tc>
          <w:tcPr>
            <w:tcW w:type="dxa" w:w="3384"/>
            <w:vAlign w:val="center"/>
            <w:shd w:fill="F8FAFC"/>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現時点の研究目的には必須でない</w:t>
            </w:r>
          </w:p>
        </w:tc>
        <w:tc>
          <w:tcPr>
            <w:tcW w:type="dxa" w:w="4032"/>
            <w:vAlign w:val="center"/>
            <w:shd w:fill="F8FAFC"/>
            <w:tcBorders>
              <w:top w:val="single" w:color="D9D9D9" w:sz="4"/>
              <w:left w:val="single" w:color="D9D9D9" w:sz="4"/>
              <w:bottom w:val="single" w:color="D9D9D9" w:sz="4"/>
              <w:right w:val="single" w:color="D9D9D9" w:sz="4"/>
            </w:tcBorders>
            <w:tcMar>
              <w:top w:w="90" w:type="dxa"/>
              <w:bottom w:w="90" w:type="dxa"/>
              <w:left w:w="90" w:type="dxa"/>
              <w:right w:w="90" w:type="dxa"/>
            </w:tcMar>
          </w:tcPr>
          <w:p>
            <w:pPr>
              <w:spacing w:after="0"/>
            </w:pPr>
            <w:r>
              <w:rPr>
                <w:rFonts w:ascii="Noto Sans CJK JP" w:hAnsi="Noto Sans CJK JP" w:eastAsia="Noto Sans CJK JP"/>
                <w:sz w:val="17"/>
              </w:rPr>
              <w:t>収集・送信しない</w:t>
            </w:r>
          </w:p>
        </w:tc>
      </w:tr>
    </w:tbl>
    <w:p>
      <w:r>
        <w:t>イベントから承認・拒否やセッション終了を確実に観測できるかは製品によって異なります。取得可能と実証できた項目だけを研究計画の測定項目にします。匿名化ではなく、再識別可能な対応表を別管理する仮名化として扱います。</w:t>
      </w:r>
    </w:p>
    <w:p>
      <w:pPr>
        <w:pStyle w:val="Heading1"/>
      </w:pPr>
      <w:r>
        <w:t>5 参加者保護と運用条件</w:t>
      </w:r>
    </w:p>
    <w:p>
      <w:pPr>
        <w:pStyle w:val="ListBullet"/>
        <w:ind w:left="288"/>
      </w:pPr>
      <w:r>
        <w:t>研究参加は任意とし、不参加・途中撤回による成績、指導、研究室内の扱いへの不利益を生じさせない。環境利用と研究へのログ提供を分けて説明する。</w:t>
      </w:r>
    </w:p>
    <w:p>
      <w:pPr>
        <w:pStyle w:val="ListBullet"/>
        <w:ind w:left="288"/>
      </w:pPr>
      <w:r>
        <w:t>収集期間・対象作業・項目・閲覧者・保存期間・削除期限を事前に明示する。対象外の私用作業や第三者の情報を含む作業では収集を止められるようにする。</w:t>
      </w:r>
    </w:p>
    <w:p>
      <w:pPr>
        <w:pStyle w:val="ListBullet"/>
        <w:ind w:left="288"/>
      </w:pPr>
      <w:r>
        <w:t>対応表は研究ログと分離し、アクセス権を限定する。暗号化、送信失敗時の再試行、誤収集時の削除・事故対応を試行で確認する。</w:t>
      </w:r>
    </w:p>
    <w:p>
      <w:pPr>
        <w:pStyle w:val="ListBullet"/>
        <w:ind w:left="288"/>
      </w:pPr>
      <w:r>
        <w:t>教授・研究者が個々の利用内容を日常の評価や監督に使わない。報告は原則として集計値とし、少人数から特定される引用は別途確認する。</w:t>
      </w:r>
    </w:p>
    <w:p>
      <w:pPr>
        <w:pStyle w:val="ListBullet"/>
        <w:ind w:left="288"/>
      </w:pPr>
      <w:r>
        <w:t>所属機関の研究倫理審査、情報管理、端末利用ルールの適用要否を確認し、必要な手続が完了するまで本収集を開始しない。</w:t>
      </w:r>
    </w:p>
    <w:p>
      <w:pPr>
        <w:pStyle w:val="Heading1"/>
      </w:pPr>
      <w:r>
        <w:t>6 費用と製品選定で確認したい点</w:t>
      </w:r>
    </w:p>
    <w:p>
      <w:r>
        <w:t>候補は無償または低コストで各人が正規に利用できるAIコーディングエージェントとします。共有アカウントや個人向け枠の研究室内使い回しは前提にせず、利用資格、上限、入力データの取扱い、ログ機能、OS・VS Code・Unityとの相性を比較します。サーバー費用も試行時に見積もり、予算上限を決めてから本実施に進みます。</w:t>
      </w:r>
    </w:p>
    <w:p>
      <w:r>
        <w:t>以前の検討ではGemini CLIの個人無料枠を候補に挙げましたが、Googleの現行案内では2026年6月18日以降、個人向けGemini Code Assist等によるGemini CLI利用は停止されています。そのため、同方式を無償導入の前提にはできません。後継製品を含め、ログ取得や規約まで再検証します。</w:t>
      </w:r>
    </w:p>
    <w:p>
      <w:pPr>
        <w:pStyle w:val="Heading1"/>
      </w:pPr>
      <w:r>
        <w:t>7 今回ご相談したい判断</w:t>
      </w:r>
    </w:p>
    <w:p>
      <w:pPr>
        <w:pStyle w:val="ListBullet"/>
        <w:ind w:left="288"/>
      </w:pPr>
      <w:r>
        <w:t>この研究目的と、研究室内で希望者を募って小規模試行する方針に問題がないか。</w:t>
      </w:r>
    </w:p>
    <w:p>
      <w:pPr>
        <w:pStyle w:val="ListBullet"/>
        <w:ind w:left="288"/>
      </w:pPr>
      <w:r>
        <w:t>研究倫理審査・情報管理について、どの学内窓口・手順で確認すべきか。</w:t>
      </w:r>
    </w:p>
    <w:p>
      <w:pPr>
        <w:pStyle w:val="ListBullet"/>
        <w:ind w:left="288"/>
      </w:pPr>
      <w:r>
        <w:t>試行の対象人数、対象作業、期間、費用上限、研究室サーバー利用の可否。</w:t>
      </w:r>
    </w:p>
    <w:p>
      <w:pPr>
        <w:pStyle w:val="ListBullet"/>
        <w:ind w:left="288"/>
      </w:pPr>
      <w:r>
        <w:t>試行結果を踏まえて本実施を再判断する、という進め方でよいか。</w:t>
      </w:r>
    </w:p>
    <w:p>
      <w:r>
        <w:t>了承いただければ、製品比較、収集項目表、参加者向け説明・同意文書、試行計画と費用見積りを作成して再度ご確認いただきます。</w:t>
      </w:r>
    </w:p>
    <w:p>
      <w:pPr>
        <w:pStyle w:val="Heading1"/>
      </w:pPr>
      <w:r>
        <w:t>参考資料</w:t>
      </w:r>
    </w:p>
    <w:p>
      <w:r>
        <w:t>Google Developers「Gemini Code Assist Feature deprecations」 https://developers.google.com/gemini-code-assist/docs/deprecations</w:t>
      </w:r>
    </w:p>
    <w:p>
      <w:r>
        <w:t>Google Developers Blog「Transitioning Gemini CLI to Antigravity CLI」 https://developers.googleblog.com/an-important-update-transitioning-gemini-cli-to-antigravity-cli/</w:t>
      </w:r>
    </w:p>
    <w:p>
      <w:r>
        <w:t>Gemini CLI「Hooks reference」 https://geminicli.com/docs/hooks/reference/</w:t>
      </w:r>
    </w:p>
    <w:sectPr w:rsidR="00FC693F" w:rsidRPr="0006063C" w:rsidSect="00034616">
      <w:footerReference w:type="default" r:id="rId9"/>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研究室AI環境・利用行動研究　相談資料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CJK JP" w:hAnsi="Noto Sans CJK JP" w:eastAsia="Noto Sans CJK JP"/>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Noto Sans CJK JP" w:hAnsi="Noto Sans CJK JP" w:eastAsia="Noto Sans CJK JP"/>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JP" w:hAnsi="Noto Sans CJK JP" w:eastAsia="Noto Sans CJK JP"/>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Bdr>
        <w:bottom w:val="nil"/>
      </w:pBdr>
    </w:pPr>
    <w:rPr>
      <w:rFonts w:asciiTheme="majorHAnsi" w:eastAsiaTheme="majorEastAsia" w:hAnsiTheme="majorHAnsi" w:cstheme="majorBidi" w:ascii="Noto Sans CJK JP" w:hAnsi="Noto Sans CJK JP" w:eastAsia="Noto Sans CJK JP"/>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