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</w:pPr>
      <w:r>
        <w:rPr>
          <w:rFonts w:ascii="Yu Gothic" w:hAnsi="Yu Gothic" w:eastAsia="Yu Gothic" w:cs="Yu Gothic"/>
          <w:b/>
          <w:color w:val="12344D"/>
          <w:sz w:val="40"/>
        </w:rPr>
        <w:t>和歌山県 主観的ウェルビーイング分析</w:t>
        <w:br/>
        <w:t>レビュー会資料</w:t>
      </w:r>
    </w:p>
    <w:p>
      <w:pPr>
        <w:spacing w:before="0" w:after="200" w:line="276" w:lineRule="auto"/>
      </w:pPr>
      <w:r>
        <w:rPr>
          <w:rFonts w:ascii="Yu Gothic" w:hAnsi="Yu Gothic" w:eastAsia="Yu Gothic" w:cs="Yu Gothic"/>
          <w:b/>
          <w:color w:val="6B7A85"/>
          <w:sz w:val="20"/>
        </w:rPr>
        <w:t>2026-09-04 / 鈴木啓太・西村瞭一</w:t>
      </w:r>
    </w:p>
    <w:p>
      <w:pPr>
        <w:pBdr>
          <w:bottom w:val="single" w:sz="18" w:space="0" w:color="0E7C86"/>
        </w:pBdr>
        <w:spacing w:before="40" w:after="200" w:line="240" w:lineRule="auto"/>
      </w:pP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エグゼクティブサマリー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和歌山県主催のデータ分析コンペ（提出 2026-10-08）に参加しています。テーマは「地域の幸福度を高めるためのまちづくり」で、和歌山県の住民の幸福度を上げるために</w:t>
      </w:r>
      <w:r>
        <w:rPr>
          <w:rFonts w:ascii="Yu Gothic" w:hAnsi="Yu Gothic" w:eastAsia="Yu Gothic" w:cs="Yu Gothic"/>
          <w:b/>
          <w:color w:val="1F2933"/>
          <w:sz w:val="21"/>
        </w:rPr>
        <w:t>どの分野に、どんな手を打つべきか</w:t>
      </w:r>
      <w:r>
        <w:rPr>
          <w:rFonts w:ascii="Yu Gothic" w:hAnsi="Yu Gothic" w:eastAsia="Yu Gothic" w:cs="Yu Gothic"/>
          <w:b w:val="0"/>
          <w:color w:val="1F2933"/>
          <w:sz w:val="21"/>
        </w:rPr>
        <w:t>を明らかにする設計を組み、実装に入る直前の段階です。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本日は、この設計を一通りご覧いただき、</w:t>
      </w:r>
      <w:r>
        <w:rPr>
          <w:rFonts w:ascii="Yu Gothic" w:hAnsi="Yu Gothic" w:eastAsia="Yu Gothic" w:cs="Yu Gothic"/>
          <w:b/>
          <w:color w:val="1F2933"/>
          <w:sz w:val="21"/>
        </w:rPr>
        <w:t>全体の筋から個別手法の中身まで、気になった点をご指摘いただきたく</w:t>
      </w:r>
      <w:r>
        <w:rPr>
          <w:rFonts w:ascii="Yu Gothic" w:hAnsi="Yu Gothic" w:eastAsia="Yu Gothic" w:cs="Yu Gothic"/>
          <w:b w:val="0"/>
          <w:color w:val="1F2933"/>
          <w:sz w:val="21"/>
        </w:rPr>
        <w:t>お時間をいただきました。</w:t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アジェンダ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101"/>
            <w:shd w:val="clear" w:color="auto" w:fill="12344D"/>
          </w:tcPr>
          <w:p>
            <w:pPr>
              <w:spacing w:before="40" w:after="40" w:line="300" w:lineRule="auto"/>
            </w:pPr>
          </w:p>
        </w:tc>
        <w:tc>
          <w:tcPr>
            <w:tcW w:type="dxa" w:w="7537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1</w:t>
            </w:r>
          </w:p>
        </w:tc>
        <w:tc>
          <w:tcPr>
            <w:tcW w:type="dxa" w:w="75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本レビュー会の目的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</w:t>
            </w:r>
          </w:p>
        </w:tc>
        <w:tc>
          <w:tcPr>
            <w:tcW w:type="dxa" w:w="753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本会議の背景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3</w:t>
            </w:r>
          </w:p>
        </w:tc>
        <w:tc>
          <w:tcPr>
            <w:tcW w:type="dxa" w:w="75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コンペの議題と募集テーマ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4</w:t>
            </w:r>
          </w:p>
        </w:tc>
        <w:tc>
          <w:tcPr>
            <w:tcW w:type="dxa" w:w="753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分析の目的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5</w:t>
            </w:r>
          </w:p>
        </w:tc>
        <w:tc>
          <w:tcPr>
            <w:tcW w:type="dxa" w:w="75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目的を叶えるための方法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6</w:t>
            </w:r>
          </w:p>
        </w:tc>
        <w:tc>
          <w:tcPr>
            <w:tcW w:type="dxa" w:w="753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収集するデータ</w:t>
            </w:r>
          </w:p>
        </w:tc>
      </w:tr>
      <w:tr>
        <w:trPr>
          <w:cantSplit/>
        </w:trPr>
        <w:tc>
          <w:tcPr>
            <w:tcW w:type="dxa" w:w="21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7</w:t>
            </w:r>
          </w:p>
        </w:tc>
        <w:tc>
          <w:tcPr>
            <w:tcW w:type="dxa" w:w="75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分析設計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1. 本レビュー会の目的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実装に入る前に、この設計で目的に到達できるかを外部レビューで確認すること。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実装前のこの段階であれば、いただいたご指摘を設計に反映できます。全体の筋から個別手法の中身まで、幅広くご指摘いただけますと幸いです。</w:t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2. 本会議の背景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2名で議論を重ね、</w:t>
      </w:r>
      <w:r>
        <w:rPr>
          <w:rFonts w:ascii="Yu Gothic" w:hAnsi="Yu Gothic" w:eastAsia="Yu Gothic" w:cs="Yu Gothic"/>
          <w:b/>
          <w:color w:val="1F2933"/>
          <w:sz w:val="21"/>
        </w:rPr>
        <w:t>分析設計を一旦完成させたところ</w:t>
      </w:r>
      <w:r>
        <w:rPr>
          <w:rFonts w:ascii="Yu Gothic" w:hAnsi="Yu Gothic" w:eastAsia="Yu Gothic" w:cs="Yu Gothic"/>
          <w:b w:val="0"/>
          <w:color w:val="1F2933"/>
          <w:sz w:val="21"/>
        </w:rPr>
        <w:t>です。実装はこれからで、本日のレビューを反映したうえで着手します。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539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今後の予定</w:t>
            </w:r>
          </w:p>
        </w:tc>
        <w:tc>
          <w:tcPr>
            <w:tcW w:type="dxa" w:w="4099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日程</w:t>
            </w:r>
          </w:p>
        </w:tc>
      </w:tr>
      <w:tr>
        <w:trPr>
          <w:cantSplit/>
        </w:trPr>
        <w:tc>
          <w:tcPr>
            <w:tcW w:type="dxa" w:w="5539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応募締切</w:t>
            </w:r>
          </w:p>
        </w:tc>
        <w:tc>
          <w:tcPr>
            <w:tcW w:type="dxa" w:w="4099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2026-10-08（木）</w:t>
            </w:r>
          </w:p>
        </w:tc>
      </w:tr>
      <w:tr>
        <w:trPr>
          <w:cantSplit/>
        </w:trPr>
        <w:tc>
          <w:tcPr>
            <w:tcW w:type="dxa" w:w="5539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最終審査会（プレゼン）</w:t>
            </w:r>
          </w:p>
        </w:tc>
        <w:tc>
          <w:tcPr>
            <w:tcW w:type="dxa" w:w="4099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2026-12-12（土）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3. コンペの議題と募集テーマ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3-1. 概要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567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71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名称</w:t>
            </w:r>
          </w:p>
        </w:tc>
        <w:tc>
          <w:tcPr>
            <w:tcW w:type="dxa" w:w="707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第10回 和歌山県データ利活用コンペティション（大学生部門）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主催</w:t>
            </w:r>
          </w:p>
        </w:tc>
        <w:tc>
          <w:tcPr>
            <w:tcW w:type="dxa" w:w="707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和歌山県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募集テーマ</w:t>
            </w:r>
          </w:p>
        </w:tc>
        <w:tc>
          <w:tcPr>
            <w:tcW w:type="dxa" w:w="707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「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データで描くウェルビーング　地域の幸福度を高めるためのまちづくり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」</w:t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ゆかりのある地域の現状・課題をデータに基づき分析し、オリジナルのアイデアを提案する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応募締切</w:t>
            </w:r>
          </w:p>
        </w:tc>
        <w:tc>
          <w:tcPr>
            <w:tcW w:type="dxa" w:w="707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2026-10-08（木）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提出物</w:t>
            </w:r>
          </w:p>
        </w:tc>
        <w:tc>
          <w:tcPr>
            <w:tcW w:type="dxa" w:w="707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応募用紙（Word/PDF）＋ プレゼン資料（PowerPoint/PDF・10MB未満）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審査の流れ</w:t>
            </w:r>
          </w:p>
        </w:tc>
        <w:tc>
          <w:tcPr>
            <w:tcW w:type="dxa" w:w="707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事前審査（形式）→ 一次審査（書類・11月末までに通知）→ 最終審査（プレゼン）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最終審査会</w:t>
            </w:r>
          </w:p>
        </w:tc>
        <w:tc>
          <w:tcPr>
            <w:tcW w:type="dxa" w:w="707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2026-12-12（土）10:00〜／和歌山県データ利活用推進センター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プレゼン時間</w:t>
            </w:r>
          </w:p>
        </w:tc>
        <w:tc>
          <w:tcPr>
            <w:tcW w:type="dxa" w:w="707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大学生部門 14分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（プレゼン資料はこの時間を想定した枚数にまとめる）</w:t>
            </w:r>
          </w:p>
        </w:tc>
      </w:tr>
      <w:tr>
        <w:trPr>
          <w:cantSplit/>
        </w:trPr>
        <w:tc>
          <w:tcPr>
            <w:tcW w:type="dxa" w:w="256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賞</w:t>
            </w:r>
          </w:p>
        </w:tc>
        <w:tc>
          <w:tcPr>
            <w:tcW w:type="dxa" w:w="707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大賞（商品券20万円）／データ利活用賞（5万円）／政策アイデア賞（5万円）。各部門1点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3-2. 審査の観点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AFB"/>
          </w:tcPr>
          <w:p>
            <w:pPr>
              <w:spacing w:before="40" w:after="40" w:line="312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提案作品は、次の観点から審査します。</w:t>
            </w:r>
          </w:p>
          <w:p>
            <w:pPr>
              <w:spacing w:before="40" w:after="40" w:line="312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なお、応募書類の不備や誤りなど、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資料の完成度も審査します。</w:t>
            </w:r>
          </w:p>
          <w:p>
            <w:pPr>
              <w:spacing w:before="40" w:after="40" w:line="312" w:lineRule="auto"/>
            </w:pPr>
          </w:p>
          <w:p>
            <w:pPr>
              <w:spacing w:before="40" w:after="40" w:line="312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ア：データ利活用の観点</w:t>
            </w:r>
          </w:p>
          <w:p>
            <w:pPr>
              <w:spacing w:before="40" w:after="40" w:line="312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・データを適切に利活用し、独自の着眼点からデータを分析し、地域の現状や課題を抽出できているか</w:t>
            </w:r>
          </w:p>
          <w:p>
            <w:pPr>
              <w:spacing w:before="40" w:after="40" w:line="312" w:lineRule="auto"/>
            </w:pPr>
          </w:p>
          <w:p>
            <w:pPr>
              <w:spacing w:before="40" w:after="40" w:line="312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イ：施策提案の観点</w:t>
            </w:r>
          </w:p>
          <w:p>
            <w:pPr>
              <w:spacing w:before="40" w:after="40" w:line="312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・募集テーマに基づいた独自性・将来性のある施策提案であり、データ分析から得られたエビデンス（客観的証拠）に基づいているか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応募要件として、</w:t>
      </w:r>
      <w:r>
        <w:rPr>
          <w:rFonts w:ascii="Yu Gothic" w:hAnsi="Yu Gothic" w:eastAsia="Yu Gothic" w:cs="Yu Gothic"/>
          <w:b/>
          <w:color w:val="1F2933"/>
          <w:sz w:val="21"/>
        </w:rPr>
        <w:t>現状及び課題についてデータに基づく分析を行っていること</w:t>
      </w:r>
      <w:r>
        <w:rPr>
          <w:rFonts w:ascii="Yu Gothic" w:hAnsi="Yu Gothic" w:eastAsia="Yu Gothic" w:cs="Yu Gothic"/>
          <w:b w:val="0"/>
          <w:color w:val="1F2933"/>
          <w:sz w:val="21"/>
        </w:rPr>
        <w:t>、</w:t>
      </w:r>
      <w:r>
        <w:rPr>
          <w:rFonts w:ascii="Yu Gothic" w:hAnsi="Yu Gothic" w:eastAsia="Yu Gothic" w:cs="Yu Gothic"/>
          <w:b/>
          <w:color w:val="1F2933"/>
          <w:sz w:val="21"/>
        </w:rPr>
        <w:t>その分析から得られたエビデンスに基づく、応募者発案のオリジナルな施策提案であること</w:t>
      </w:r>
      <w:r>
        <w:rPr>
          <w:rFonts w:ascii="Yu Gothic" w:hAnsi="Yu Gothic" w:eastAsia="Yu Gothic" w:cs="Yu Gothic"/>
          <w:b w:val="0"/>
          <w:color w:val="1F2933"/>
          <w:sz w:val="21"/>
        </w:rPr>
        <w:t>が明記されています。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（出典：</w:t>
      </w:r>
      <w:hyperlink r:id="rId9">
        <w:r>
          <w:rPr>
            <w:rFonts w:ascii="Yu Gothic" w:hAnsi="Yu Gothic" w:eastAsia="Yu Gothic" w:cs="Yu Gothic"/>
            <w:b w:val="0"/>
            <w:color w:val="0E7C86"/>
            <w:sz w:val="21"/>
            <w:u w:val="single"/>
          </w:rPr>
          <w:t>第10回和歌山県データ利活用コンペティション 募集要項</w:t>
        </w:r>
      </w:hyperlink>
      <w:r>
        <w:rPr>
          <w:rFonts w:ascii="Yu Gothic" w:hAnsi="Yu Gothic" w:eastAsia="Yu Gothic" w:cs="Yu Gothic"/>
          <w:b w:val="0"/>
          <w:color w:val="1F2933"/>
          <w:sz w:val="21"/>
        </w:rPr>
        <w:t>）</w:t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4. 分析の目的</w:t>
      </w:r>
    </w:p>
    <w:tbl>
      <w:tblPr>
        <w:tblW w:type="auto" w:w="0"/>
        <w:tblBorders>
          <w:top w:val="single" w:sz="8" w:space="0" w:color="12344D"/>
          <w:left w:val="single" w:sz="8" w:space="0" w:color="12344D"/>
          <w:bottom w:val="single" w:sz="8" w:space="0" w:color="12344D"/>
          <w:right w:val="single" w:sz="8" w:space="0" w:color="12344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2344D"/>
          </w:tcPr>
          <w:p>
            <w:pPr>
              <w:spacing w:before="120" w:after="120" w:line="300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7"/>
              </w:rPr>
              <w:t>和歌山県の住民が実際に感じている幸福度（主観的ウェルビーイング）を上げること。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5. 目的を叶えるための方法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方法</w:t>
      </w:r>
    </w:p>
    <w:tbl>
      <w:tblPr>
        <w:tblW w:type="auto" w:w="0"/>
        <w:tblBorders>
          <w:top w:val="single" w:sz="8" w:space="0" w:color="12344D"/>
          <w:left w:val="single" w:sz="8" w:space="0" w:color="12344D"/>
          <w:bottom w:val="single" w:sz="8" w:space="0" w:color="12344D"/>
          <w:right w:val="single" w:sz="8" w:space="0" w:color="12344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2344D"/>
          </w:tcPr>
          <w:p>
            <w:pPr>
              <w:spacing w:before="120" w:after="120" w:line="300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7"/>
              </w:rPr>
              <w:t>分析から政策提言までを行う。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理由：</w:t>
      </w:r>
      <w:r>
        <w:rPr>
          <w:rFonts w:ascii="Yu Gothic" w:hAnsi="Yu Gothic" w:eastAsia="Yu Gothic" w:cs="Yu Gothic"/>
          <w:b w:val="0"/>
          <w:color w:val="1F2933"/>
          <w:sz w:val="21"/>
        </w:rPr>
        <w:t xml:space="preserve"> 目的を叶えるには、</w:t>
      </w:r>
      <w:r>
        <w:rPr>
          <w:rFonts w:ascii="Yu Gothic" w:hAnsi="Yu Gothic" w:eastAsia="Yu Gothic" w:cs="Yu Gothic"/>
          <w:b/>
          <w:color w:val="1F2933"/>
          <w:sz w:val="21"/>
        </w:rPr>
        <w:t>データドリブンで幸福度を向上させる施策が何なのかを明確にし、手を打つこと</w:t>
      </w:r>
      <w:r>
        <w:rPr>
          <w:rFonts w:ascii="Yu Gothic" w:hAnsi="Yu Gothic" w:eastAsia="Yu Gothic" w:cs="Yu Gothic"/>
          <w:b w:val="0"/>
          <w:color w:val="1F2933"/>
          <w:sz w:val="21"/>
        </w:rPr>
        <w:t>が必要だからです。施策が明確になっていなければ手は打てず、手を打たなければ幸福度は上がりません。したがって、分析だけでも提言だけでもなく、</w:t>
      </w:r>
      <w:r>
        <w:rPr>
          <w:rFonts w:ascii="Yu Gothic" w:hAnsi="Yu Gothic" w:eastAsia="Yu Gothic" w:cs="Yu Gothic"/>
          <w:b/>
          <w:color w:val="1F2933"/>
          <w:sz w:val="21"/>
        </w:rPr>
        <w:t>分析から政策提言までを一続きで行うこと</w:t>
      </w:r>
      <w:r>
        <w:rPr>
          <w:rFonts w:ascii="Yu Gothic" w:hAnsi="Yu Gothic" w:eastAsia="Yu Gothic" w:cs="Yu Gothic"/>
          <w:b w:val="0"/>
          <w:color w:val="1F2933"/>
          <w:sz w:val="21"/>
        </w:rPr>
        <w:t>を方法とします。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この方法をとった後の状態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分析から政策提言までを終えたとき、次の4点を言える状態になっていることを目指します。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53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#</w:t>
            </w:r>
          </w:p>
        </w:tc>
        <w:tc>
          <w:tcPr>
            <w:tcW w:type="dxa" w:w="4457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言えるようにすること</w:t>
            </w:r>
          </w:p>
        </w:tc>
        <w:tc>
          <w:tcPr>
            <w:tcW w:type="dxa" w:w="4428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それが言えると何ができるか</w:t>
            </w:r>
          </w:p>
        </w:tc>
      </w:tr>
      <w:tr>
        <w:trPr>
          <w:cantSplit/>
        </w:trPr>
        <w:tc>
          <w:tcPr>
            <w:tcW w:type="dxa" w:w="75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1</w:t>
            </w:r>
          </w:p>
        </w:tc>
        <w:tc>
          <w:tcPr>
            <w:tcW w:type="dxa" w:w="445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どの分野に手を打つべきか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（優先順位と、その根拠）</w:t>
            </w:r>
          </w:p>
        </w:tc>
        <w:tc>
          <w:tcPr>
            <w:tcW w:type="dxa" w:w="442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予算を振り向ける先が決まる</w:t>
            </w:r>
          </w:p>
        </w:tc>
      </w:tr>
      <w:tr>
        <w:trPr>
          <w:cantSplit/>
        </w:trPr>
        <w:tc>
          <w:tcPr>
            <w:tcW w:type="dxa" w:w="753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2</w:t>
            </w:r>
          </w:p>
        </w:tc>
        <w:tc>
          <w:tcPr>
            <w:tcW w:type="dxa" w:w="445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その分野は、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周知・運用で実感を上げられるのか／環境そのものを変えないと上がらないのか</w:t>
            </w:r>
          </w:p>
        </w:tc>
        <w:tc>
          <w:tcPr>
            <w:tcW w:type="dxa" w:w="442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打つべき施策の型（ソフト／ハード）が決まる</w:t>
            </w:r>
          </w:p>
        </w:tc>
      </w:tr>
      <w:tr>
        <w:trPr>
          <w:cantSplit/>
        </w:trPr>
        <w:tc>
          <w:tcPr>
            <w:tcW w:type="dxa" w:w="75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3</w:t>
            </w:r>
          </w:p>
        </w:tc>
        <w:tc>
          <w:tcPr>
            <w:tcW w:type="dxa" w:w="445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環境を変えるなら、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どの指標を、どこまで動かすのか</w:t>
            </w:r>
          </w:p>
        </w:tc>
        <w:tc>
          <w:tcPr>
            <w:tcW w:type="dxa" w:w="442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施策のターゲットと目標値が決まる</w:t>
            </w:r>
          </w:p>
        </w:tc>
      </w:tr>
      <w:tr>
        <w:trPr>
          <w:cantSplit/>
        </w:trPr>
        <w:tc>
          <w:tcPr>
            <w:tcW w:type="dxa" w:w="753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4</w:t>
            </w:r>
          </w:p>
        </w:tc>
        <w:tc>
          <w:tcPr>
            <w:tcW w:type="dxa" w:w="445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その打ち手で、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幸福度がどれだけ動くと見込めるのか</w:t>
            </w:r>
          </w:p>
        </w:tc>
        <w:tc>
          <w:tcPr>
            <w:tcW w:type="dxa" w:w="442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費用対効果を示して意思決定にかけられる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この4点が埋まれば、</w:t>
      </w:r>
      <w:r>
        <w:rPr>
          <w:rFonts w:ascii="Yu Gothic" w:hAnsi="Yu Gothic" w:eastAsia="Yu Gothic" w:cs="Yu Gothic"/>
          <w:b/>
          <w:color w:val="1F2933"/>
          <w:sz w:val="21"/>
        </w:rPr>
        <w:t>「和歌山県はここに、こう手を打つべき」</w:t>
      </w:r>
      <w:r>
        <w:rPr>
          <w:rFonts w:ascii="Yu Gothic" w:hAnsi="Yu Gothic" w:eastAsia="Yu Gothic" w:cs="Yu Gothic"/>
          <w:b w:val="0"/>
          <w:color w:val="1F2933"/>
          <w:sz w:val="21"/>
        </w:rPr>
        <w:t>という形で提言に落ちます。逆に、ここが埋まらない設計は目的を達成しません。</w:t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6. 収集するデータ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6-1. 使うデータ</w:t>
      </w:r>
    </w:p>
    <w:tbl>
      <w:tblPr>
        <w:tblW w:type="auto" w:w="0"/>
        <w:tblBorders>
          <w:top w:val="single" w:sz="8" w:space="0" w:color="12344D"/>
          <w:left w:val="single" w:sz="8" w:space="0" w:color="12344D"/>
          <w:bottom w:val="single" w:sz="8" w:space="0" w:color="12344D"/>
          <w:right w:val="single" w:sz="8" w:space="0" w:color="12344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2344D"/>
          </w:tcPr>
          <w:p>
            <w:pPr>
              <w:spacing w:before="120" w:after="120" w:line="300" w:lineRule="auto"/>
              <w:jc w:val="center"/>
            </w:pPr>
            <w:r>
              <w:rPr>
                <w:rFonts w:ascii="Yu Gothic" w:hAnsi="Yu Gothic" w:eastAsia="Yu Gothic" w:cs="Yu Gothic"/>
                <w:b/>
                <w:color w:val="FFFFFF"/>
                <w:sz w:val="27"/>
              </w:rPr>
              <w:t>デジタル庁「地域幸福度（Well-Being）指標」ダッシュボード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市区町村単位</w:t>
      </w:r>
      <w:r>
        <w:rPr>
          <w:rFonts w:ascii="Yu Gothic" w:hAnsi="Yu Gothic" w:eastAsia="Yu Gothic" w:cs="Yu Gothic"/>
          <w:b w:val="0"/>
          <w:color w:val="1F2933"/>
          <w:sz w:val="21"/>
        </w:rPr>
        <w:t>で、</w:t>
      </w:r>
      <w:r>
        <w:rPr>
          <w:rFonts w:ascii="Yu Gothic" w:hAnsi="Yu Gothic" w:eastAsia="Yu Gothic" w:cs="Yu Gothic"/>
          <w:b/>
          <w:color w:val="1F2933"/>
          <w:sz w:val="21"/>
        </w:rPr>
        <w:t>住民の実感（主観指標）と地域の環境水準（客観指標）が、同じ24分野の枠組みで並んで取れる</w:t>
      </w:r>
      <w:r>
        <w:rPr>
          <w:rFonts w:ascii="Yu Gothic" w:hAnsi="Yu Gothic" w:eastAsia="Yu Gothic" w:cs="Yu Gothic"/>
          <w:b w:val="0"/>
          <w:color w:val="1F2933"/>
          <w:sz w:val="21"/>
        </w:rPr>
        <w:t>のがこのデータの特徴です。全国約530自治体分が公開されています。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6-2. このデータで何が分かるか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53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取れるもの</w:t>
            </w:r>
          </w:p>
        </w:tc>
        <w:tc>
          <w:tcPr>
            <w:tcW w:type="dxa" w:w="6385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分かること</w:t>
            </w:r>
          </w:p>
        </w:tc>
      </w:tr>
      <w:tr>
        <w:trPr>
          <w:cantSplit/>
        </w:trPr>
        <w:tc>
          <w:tcPr>
            <w:tcW w:type="dxa" w:w="325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幸福度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（0〜10の総合スコア）</w:t>
            </w:r>
          </w:p>
        </w:tc>
        <w:tc>
          <w:tcPr>
            <w:tcW w:type="dxa" w:w="6385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住民が全体としてどれだけ幸せを感じているか。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これを目的変数にする</w:t>
            </w:r>
          </w:p>
        </w:tc>
      </w:tr>
      <w:tr>
        <w:trPr>
          <w:cantSplit/>
        </w:trPr>
        <w:tc>
          <w:tcPr>
            <w:tcW w:type="dxa" w:w="3253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主観24分野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（住民の実感）</w:t>
            </w:r>
          </w:p>
        </w:tc>
        <w:tc>
          <w:tcPr>
            <w:tcW w:type="dxa" w:w="6385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24分野それぞれについて、住民が実際にどう感じているか</w:t>
            </w:r>
          </w:p>
        </w:tc>
      </w:tr>
      <w:tr>
        <w:trPr>
          <w:cantSplit/>
        </w:trPr>
        <w:tc>
          <w:tcPr>
            <w:tcW w:type="dxa" w:w="325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客観24分野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（環境の水準）</w:t>
            </w:r>
          </w:p>
        </w:tc>
        <w:tc>
          <w:tcPr>
            <w:tcW w:type="dxa" w:w="6385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同じ24分野について、地域の環境が客観的にどの水準にあるか</w:t>
            </w:r>
          </w:p>
        </w:tc>
      </w:tr>
      <w:tr>
        <w:trPr>
          <w:cantSplit/>
        </w:trPr>
        <w:tc>
          <w:tcPr>
            <w:tcW w:type="dxa" w:w="3253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客観の個別KPI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（208本）</w:t>
            </w:r>
          </w:p>
        </w:tc>
        <w:tc>
          <w:tcPr>
            <w:tcW w:type="dxa" w:w="6385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客観24分野が、どの具体的な指標から成り立っているか</w:t>
            </w:r>
          </w:p>
        </w:tc>
      </w:tr>
      <w:tr>
        <w:trPr>
          <w:cantSplit/>
        </w:trPr>
        <w:tc>
          <w:tcPr>
            <w:tcW w:type="dxa" w:w="325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年代別の内訳</w:t>
            </w:r>
          </w:p>
        </w:tc>
        <w:tc>
          <w:tcPr>
            <w:tcW w:type="dxa" w:w="6385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主観側は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全分野が年代別に取れる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ため、同じ自治体でも年代によって実感がどう違うかを見られる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主観と客観が同じ枠組みで並ぶため、</w:t>
      </w:r>
      <w:r>
        <w:rPr>
          <w:rFonts w:ascii="Yu Gothic" w:hAnsi="Yu Gothic" w:eastAsia="Yu Gothic" w:cs="Yu Gothic"/>
          <w:b/>
          <w:color w:val="1F2933"/>
          <w:sz w:val="21"/>
        </w:rPr>
        <w:t>「環境はあるのに、住民の実感が伴っていない分野」を特定できます。</w:t>
      </w:r>
      <w:r>
        <w:rPr>
          <w:rFonts w:ascii="Yu Gothic" w:hAnsi="Yu Gothic" w:eastAsia="Yu Gothic" w:cs="Yu Gothic"/>
          <w:b w:val="0"/>
          <w:color w:val="1F2933"/>
          <w:sz w:val="21"/>
        </w:rPr>
        <w:t xml:space="preserve"> これが本分析の起点です。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24分野の内訳</w:t>
      </w:r>
    </w:p>
    <w:p>
      <w:pPr>
        <w:spacing w:before="0" w:after="80" w:line="312" w:lineRule="auto"/>
        <w:ind w:left="340" w:hanging="198"/>
      </w:pPr>
      <w:r>
        <w:rPr>
          <w:rFonts w:ascii="Yu Gothic" w:hAnsi="Yu Gothic" w:eastAsia="Yu Gothic" w:cs="Yu Gothic"/>
          <w:b/>
          <w:color w:val="0E7C86"/>
          <w:sz w:val="21"/>
        </w:rPr>
        <w:t>・</w:t>
      </w:r>
      <w:r>
        <w:rPr>
          <w:rFonts w:ascii="Yu Gothic" w:hAnsi="Yu Gothic" w:eastAsia="Yu Gothic" w:cs="Yu Gothic"/>
          <w:b/>
          <w:color w:val="1F2933"/>
          <w:sz w:val="21"/>
        </w:rPr>
        <w:t>生活環境（16）</w:t>
      </w:r>
      <w:r>
        <w:rPr>
          <w:rFonts w:ascii="Yu Gothic" w:hAnsi="Yu Gothic" w:eastAsia="Yu Gothic" w:cs="Yu Gothic"/>
          <w:b w:val="0"/>
          <w:color w:val="1F2933"/>
          <w:sz w:val="21"/>
        </w:rPr>
        <w:t>：医療・福祉／買物・飲食／住宅環境／移動・交通／遊び・娯楽／子育て／初等・中等教育／地域行政／デジタル生活／公共空間／都市景観／自然景観／自然の恵み／環境共生／自然災害／事故・犯罪</w:t>
      </w:r>
    </w:p>
    <w:p>
      <w:pPr>
        <w:spacing w:before="0" w:after="80" w:line="312" w:lineRule="auto"/>
        <w:ind w:left="340" w:hanging="198"/>
      </w:pPr>
      <w:r>
        <w:rPr>
          <w:rFonts w:ascii="Yu Gothic" w:hAnsi="Yu Gothic" w:eastAsia="Yu Gothic" w:cs="Yu Gothic"/>
          <w:b/>
          <w:color w:val="0E7C86"/>
          <w:sz w:val="21"/>
        </w:rPr>
        <w:t>・</w:t>
      </w:r>
      <w:r>
        <w:rPr>
          <w:rFonts w:ascii="Yu Gothic" w:hAnsi="Yu Gothic" w:eastAsia="Yu Gothic" w:cs="Yu Gothic"/>
          <w:b/>
          <w:color w:val="1F2933"/>
          <w:sz w:val="21"/>
        </w:rPr>
        <w:t>地域の人間関係（2）</w:t>
      </w:r>
      <w:r>
        <w:rPr>
          <w:rFonts w:ascii="Yu Gothic" w:hAnsi="Yu Gothic" w:eastAsia="Yu Gothic" w:cs="Yu Gothic"/>
          <w:b w:val="0"/>
          <w:color w:val="1F2933"/>
          <w:sz w:val="21"/>
        </w:rPr>
        <w:t>：地域とのつながり／多様性と寛容性</w:t>
      </w:r>
    </w:p>
    <w:p>
      <w:pPr>
        <w:spacing w:before="0" w:after="80" w:line="312" w:lineRule="auto"/>
        <w:ind w:left="340" w:hanging="198"/>
      </w:pPr>
      <w:r>
        <w:rPr>
          <w:rFonts w:ascii="Yu Gothic" w:hAnsi="Yu Gothic" w:eastAsia="Yu Gothic" w:cs="Yu Gothic"/>
          <w:b/>
          <w:color w:val="0E7C86"/>
          <w:sz w:val="21"/>
        </w:rPr>
        <w:t>・</w:t>
      </w:r>
      <w:r>
        <w:rPr>
          <w:rFonts w:ascii="Yu Gothic" w:hAnsi="Yu Gothic" w:eastAsia="Yu Gothic" w:cs="Yu Gothic"/>
          <w:b/>
          <w:color w:val="1F2933"/>
          <w:sz w:val="21"/>
        </w:rPr>
        <w:t>自分らしい生き方（6）</w:t>
      </w:r>
      <w:r>
        <w:rPr>
          <w:rFonts w:ascii="Yu Gothic" w:hAnsi="Yu Gothic" w:eastAsia="Yu Gothic" w:cs="Yu Gothic"/>
          <w:b w:val="0"/>
          <w:color w:val="1F2933"/>
          <w:sz w:val="21"/>
        </w:rPr>
        <w:t>：自己効力感／健康状態／文化・芸術／教育機会の豊かさ／雇用・所得／事業創造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6-3. データの出所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70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7368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出所</w:t>
            </w:r>
          </w:p>
        </w:tc>
      </w:tr>
      <w:tr>
        <w:trPr>
          <w:cantSplit/>
        </w:trPr>
        <w:tc>
          <w:tcPr>
            <w:tcW w:type="dxa" w:w="227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主指標（主観）</w:t>
            </w:r>
          </w:p>
        </w:tc>
        <w:tc>
          <w:tcPr>
            <w:tcW w:type="dxa" w:w="736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すべて住民アンケート。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 xml:space="preserve"> デジタル庁が全国の自治体で実施</w:t>
            </w:r>
          </w:p>
        </w:tc>
      </w:tr>
      <w:tr>
        <w:trPr>
          <w:cantSplit/>
        </w:trPr>
        <w:tc>
          <w:tcPr>
            <w:tcW w:type="dxa" w:w="227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客観指標</w:t>
            </w:r>
          </w:p>
        </w:tc>
        <w:tc>
          <w:tcPr>
            <w:tcW w:type="dxa" w:w="736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官庁統計から合成。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 xml:space="preserve"> 国交省「都市モニタリングシート」、厚労省「医療費の地域差分析」、総務省「社会・人口統計体系」等。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原出典まで公開されている</w:t>
            </w:r>
          </w:p>
        </w:tc>
      </w:tr>
      <w:tr>
        <w:trPr>
          <w:cantSplit/>
        </w:trPr>
        <w:tc>
          <w:tcPr>
            <w:tcW w:type="dxa" w:w="227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環境変数（統制用）</w:t>
            </w:r>
          </w:p>
        </w:tc>
        <w:tc>
          <w:tcPr>
            <w:tcW w:type="dxa" w:w="736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総務省（人口・高齢化率・財政力指数）。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ダッシュボードの外から足す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変数で、自治体間の条件差を吸収するために置く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6-4. 目的変数と分析単位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566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072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566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目的変数</w:t>
            </w:r>
          </w:p>
        </w:tc>
        <w:tc>
          <w:tcPr>
            <w:tcW w:type="dxa" w:w="807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幸福度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（0〜10の生値）。コンペのテーマ名に一致させる</w:t>
            </w:r>
          </w:p>
        </w:tc>
      </w:tr>
      <w:tr>
        <w:trPr>
          <w:cantSplit/>
        </w:trPr>
        <w:tc>
          <w:tcPr>
            <w:tcW w:type="dxa" w:w="1566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説明変数</w:t>
            </w:r>
          </w:p>
        </w:tc>
        <w:tc>
          <w:tcPr>
            <w:tcW w:type="dxa" w:w="8072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主観24分野・客観24分野（いずれも偏差値）、客観の個別KPI（実数）、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環境変数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（人口・高齢化率・財政力指数などの地域条件。自治体間で条件を揃えるための統制変数として置く）</w:t>
            </w:r>
          </w:p>
        </w:tc>
      </w:tr>
      <w:tr>
        <w:trPr>
          <w:cantSplit/>
        </w:trPr>
        <w:tc>
          <w:tcPr>
            <w:tcW w:type="dxa" w:w="1566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分析単位</w:t>
            </w:r>
          </w:p>
        </w:tc>
        <w:tc>
          <w:tcPr>
            <w:tcW w:type="dxa" w:w="807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1行 ＝ 1自治体 × 1年度 × 1年代</w:t>
            </w:r>
          </w:p>
        </w:tc>
      </w:tr>
      <w:tr>
        <w:trPr>
          <w:cantSplit/>
        </w:trPr>
        <w:tc>
          <w:tcPr>
            <w:tcW w:type="dxa" w:w="1566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対象</w:t>
            </w:r>
          </w:p>
        </w:tc>
        <w:tc>
          <w:tcPr>
            <w:tcW w:type="dxa" w:w="8072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推定は全国の自治体、診断の対象は和歌山。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 xml:space="preserve"> 全国データで「同水準の自治体ならこのくらい」という物差しを作り、それを和歌山に当てる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pBdr>
          <w:bottom w:val="single" w:sz="8" w:space="0" w:color="D5DEE3"/>
        </w:pBdr>
        <w:spacing w:before="280" w:after="120" w:line="288" w:lineRule="auto"/>
      </w:pPr>
      <w:r>
        <w:rPr>
          <w:rFonts w:ascii="Yu Gothic" w:hAnsi="Yu Gothic" w:eastAsia="Yu Gothic" w:cs="Yu Gothic"/>
          <w:b/>
          <w:color w:val="12344D"/>
          <w:sz w:val="30"/>
        </w:rPr>
        <w:t>7. 分析設計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7-1. この資料で使う言葉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分析設計の説明に入る前に、以下の5語を定義します。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01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言葉</w:t>
            </w:r>
          </w:p>
        </w:tc>
        <w:tc>
          <w:tcPr>
            <w:tcW w:type="dxa" w:w="7437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指すもの</w:t>
            </w:r>
          </w:p>
        </w:tc>
      </w:tr>
      <w:tr>
        <w:trPr>
          <w:cantSplit/>
        </w:trPr>
        <w:tc>
          <w:tcPr>
            <w:tcW w:type="dxa" w:w="22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幸福度</w:t>
            </w:r>
          </w:p>
        </w:tc>
        <w:tc>
          <w:tcPr>
            <w:tcW w:type="dxa" w:w="74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目的変数。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 xml:space="preserve"> 住民に直接たずねた0〜10の総合スコア</w:t>
            </w:r>
          </w:p>
        </w:tc>
      </w:tr>
      <w:tr>
        <w:trPr>
          <w:cantSplit/>
        </w:trPr>
        <w:tc>
          <w:tcPr>
            <w:tcW w:type="dxa" w:w="220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主観スコア</w:t>
            </w:r>
          </w:p>
        </w:tc>
        <w:tc>
          <w:tcPr>
            <w:tcW w:type="dxa" w:w="743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24分野それぞれの、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住民の実感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の値（偏差値）</w:t>
            </w:r>
          </w:p>
        </w:tc>
      </w:tr>
      <w:tr>
        <w:trPr>
          <w:cantSplit/>
        </w:trPr>
        <w:tc>
          <w:tcPr>
            <w:tcW w:type="dxa" w:w="22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客観スコア</w:t>
            </w:r>
          </w:p>
        </w:tc>
        <w:tc>
          <w:tcPr>
            <w:tcW w:type="dxa" w:w="74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24分野それぞれの、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地域の環境水準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の値（偏差値）</w:t>
            </w:r>
          </w:p>
        </w:tc>
      </w:tr>
      <w:tr>
        <w:trPr>
          <w:cantSplit/>
        </w:trPr>
        <w:tc>
          <w:tcPr>
            <w:tcW w:type="dxa" w:w="220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客観的構成値</w:t>
            </w:r>
          </w:p>
        </w:tc>
        <w:tc>
          <w:tcPr>
            <w:tcW w:type="dxa" w:w="743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客観スコアを組み立てている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個別KPI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（24分野あわせて208本）</w:t>
            </w:r>
          </w:p>
        </w:tc>
      </w:tr>
      <w:tr>
        <w:trPr>
          <w:cantSplit/>
        </w:trPr>
        <w:tc>
          <w:tcPr>
            <w:tcW w:type="dxa" w:w="220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追加要因</w:t>
            </w:r>
          </w:p>
        </w:tc>
        <w:tc>
          <w:tcPr>
            <w:tcW w:type="dxa" w:w="743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客観的構成値に含まれていないが、主観スコアに関係している可能性のある要因（情報の届き方、予約のしやすさ、運用など）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7-2. 全体の流れ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分析は9ステップですが、かたまりで見ると4つです。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6F8"/>
          </w:tcPr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>①  どの分野を扱うかを決める                      STEP 1・2</w:t>
            </w:r>
          </w:p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 xml:space="preserve">              ↓</w:t>
            </w:r>
          </w:p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>②  その分野の実感が、環境の数字で説明できるかを判定する    STEP 3・4</w:t>
            </w:r>
          </w:p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 xml:space="preserve">              ↓          ← ここで進む道が2つに分かれる</w:t>
            </w:r>
          </w:p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>③  何をどこまで動かすと、実感がどれだけ動くかを出す       STEP 5・6・7</w:t>
            </w:r>
          </w:p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 xml:space="preserve">              ↓</w:t>
            </w:r>
          </w:p>
          <w:p>
            <w:pPr>
              <w:spacing w:before="20" w:after="20" w:line="288" w:lineRule="auto"/>
            </w:pPr>
            <w:r>
              <w:rPr>
                <w:rFonts w:ascii="MS Gothic" w:hAnsi="MS Gothic" w:eastAsia="MS Gothic" w:cs="MS Gothic"/>
                <w:b w:val="0"/>
                <w:color w:val="12344D"/>
                <w:sz w:val="18"/>
              </w:rPr>
              <w:t>④  行政が打てる手に翻訳する                      STEP 8・9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092"/>
            <w:shd w:val="clear" w:color="auto" w:fill="12344D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338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やること</w:t>
            </w:r>
          </w:p>
        </w:tc>
        <w:tc>
          <w:tcPr>
            <w:tcW w:type="dxa" w:w="3230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ここで分かること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①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分野を</w:t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絞る</w:t>
            </w:r>
          </w:p>
        </w:tc>
        <w:tc>
          <w:tcPr>
            <w:tcW w:type="dxa" w:w="97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1</w:t>
            </w:r>
          </w:p>
        </w:tc>
        <w:tc>
          <w:tcPr>
            <w:tcW w:type="dxa" w:w="433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24分野の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主観スコア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と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幸福度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の関連性を確認する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幸福度と関連が大きい分野はどれか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2F6F8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2</w:t>
            </w:r>
          </w:p>
        </w:tc>
        <w:tc>
          <w:tcPr>
            <w:tcW w:type="dxa" w:w="433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重点カテゴリー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を選定する</w:t>
            </w:r>
          </w:p>
        </w:tc>
        <w:tc>
          <w:tcPr>
            <w:tcW w:type="dxa" w:w="323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そのうち、和歌山が優先的に扱うべき分野はどれか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②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道を</w:t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分ける</w:t>
            </w:r>
          </w:p>
        </w:tc>
        <w:tc>
          <w:tcPr>
            <w:tcW w:type="dxa" w:w="97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3</w:t>
            </w:r>
          </w:p>
        </w:tc>
        <w:tc>
          <w:tcPr>
            <w:tcW w:type="dxa" w:w="433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重点カテゴリーの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主観スコア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を、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客観的構成値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で説明できるかを確認する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環境の数字で説明がつく分野か、つかない分野か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2F6F8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4A</w:t>
            </w:r>
          </w:p>
        </w:tc>
        <w:tc>
          <w:tcPr>
            <w:tcW w:type="dxa" w:w="433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【説明できる場合】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 xml:space="preserve"> 客観的構成値をそのまま改善候補として扱う</w:t>
            </w:r>
          </w:p>
        </w:tc>
        <w:tc>
          <w:tcPr>
            <w:tcW w:type="dxa" w:w="323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改善候補（既存のKPI）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FFFFF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4B</w:t>
            </w:r>
          </w:p>
        </w:tc>
        <w:tc>
          <w:tcPr>
            <w:tcW w:type="dxa" w:w="433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【説明できない場合】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 xml:space="preserve"> 追加要因を探索し、改善候補に加える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改善候補（既存のKPI ＋ 追加要因）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③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効き目を</w:t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見積もる</w:t>
            </w:r>
          </w:p>
        </w:tc>
        <w:tc>
          <w:tcPr>
            <w:tcW w:type="dxa" w:w="97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5</w:t>
            </w:r>
          </w:p>
        </w:tc>
        <w:tc>
          <w:tcPr>
            <w:tcW w:type="dxa" w:w="433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改善候補のうち、伸ばすと実感が動きそうなものに絞り込む</w:t>
            </w:r>
          </w:p>
        </w:tc>
        <w:tc>
          <w:tcPr>
            <w:tcW w:type="dxa" w:w="323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効きそうな候補はどれか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FFFFF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6</w:t>
            </w:r>
          </w:p>
        </w:tc>
        <w:tc>
          <w:tcPr>
            <w:tcW w:type="dxa" w:w="433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和歌山に、その数値を伸ばす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余地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があるかを確認する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実際に動かせる候補はどれか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2F6F8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7</w:t>
            </w:r>
          </w:p>
        </w:tc>
        <w:tc>
          <w:tcPr>
            <w:tcW w:type="dxa" w:w="433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候補に目標値を置き、</w:t>
            </w: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主観スコア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の変化を試算する</w:t>
            </w:r>
          </w:p>
        </w:tc>
        <w:tc>
          <w:tcPr>
            <w:tcW w:type="dxa" w:w="323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どこまで動かすと、実感がどれだけ動くか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④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施策に</w:t>
            </w:r>
            <w:r>
              <w:br/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する</w:t>
            </w:r>
          </w:p>
        </w:tc>
        <w:tc>
          <w:tcPr>
            <w:tcW w:type="dxa" w:w="977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8</w:t>
            </w:r>
          </w:p>
        </w:tc>
        <w:tc>
          <w:tcPr>
            <w:tcW w:type="dxa" w:w="4338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行政施策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の介入可能性と時間軸を整理する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短期・中期・長期のどれで打てる手か</w:t>
            </w:r>
          </w:p>
        </w:tc>
      </w:tr>
      <w:tr>
        <w:trPr>
          <w:cantSplit/>
        </w:trPr>
        <w:tc>
          <w:tcPr>
            <w:tcW w:type="dxa" w:w="1092"/>
            <w:shd w:val="clear" w:color="auto" w:fill="F2F6F8"/>
          </w:tcPr>
          <w:p>
            <w:pPr>
              <w:spacing w:before="40" w:after="40" w:line="300" w:lineRule="auto"/>
            </w:pPr>
          </w:p>
        </w:tc>
        <w:tc>
          <w:tcPr>
            <w:tcW w:type="dxa" w:w="977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9</w:t>
            </w:r>
          </w:p>
        </w:tc>
        <w:tc>
          <w:tcPr>
            <w:tcW w:type="dxa" w:w="4338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政策提案とロードマップを作成する</w:t>
            </w:r>
          </w:p>
        </w:tc>
        <w:tc>
          <w:tcPr>
            <w:tcW w:type="dxa" w:w="323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和歌山が、何を、いつやるべきか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 xml:space="preserve">※ </w:t>
      </w:r>
      <w:r>
        <w:rPr>
          <w:rFonts w:ascii="Yu Gothic" w:hAnsi="Yu Gothic" w:eastAsia="Yu Gothic" w:cs="Yu Gothic"/>
          <w:b/>
          <w:color w:val="1F2933"/>
          <w:sz w:val="21"/>
        </w:rPr>
        <w:t>改善候補</w:t>
      </w:r>
      <w:r>
        <w:rPr>
          <w:rFonts w:ascii="Yu Gothic" w:hAnsi="Yu Gothic" w:eastAsia="Yu Gothic" w:cs="Yu Gothic"/>
          <w:b w:val="0"/>
          <w:color w:val="1F2933"/>
          <w:sz w:val="21"/>
        </w:rPr>
        <w:t xml:space="preserve"> ＝ STEP 4A では「客観的構成値」、STEP 4B では「客観的構成値」に加えて探索した「追加要因」を指します。</w:t>
      </w:r>
    </w:p>
    <w:p>
      <w:pPr>
        <w:spacing w:before="200" w:after="80" w:line="288" w:lineRule="auto"/>
      </w:pPr>
      <w:r>
        <w:rPr>
          <w:rFonts w:ascii="Yu Gothic" w:hAnsi="Yu Gothic" w:eastAsia="Yu Gothic" w:cs="Yu Gothic"/>
          <w:b/>
          <w:color w:val="0E7C86"/>
          <w:sz w:val="24"/>
        </w:rPr>
        <w:t>7-3. 設計の要は STEP 3 の分岐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同じ「主観スコアが低い」でも、背景は2通りあります。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522"/>
            <w:shd w:val="clear" w:color="auto" w:fill="12344D"/>
          </w:tcPr>
          <w:p>
            <w:pPr>
              <w:spacing w:before="40" w:after="40" w:line="300" w:lineRule="auto"/>
            </w:pPr>
          </w:p>
        </w:tc>
        <w:tc>
          <w:tcPr>
            <w:tcW w:type="dxa" w:w="3493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状況</w:t>
            </w:r>
          </w:p>
        </w:tc>
        <w:tc>
          <w:tcPr>
            <w:tcW w:type="dxa" w:w="4623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意味すること</w:t>
            </w:r>
          </w:p>
        </w:tc>
      </w:tr>
      <w:tr>
        <w:trPr>
          <w:cantSplit/>
        </w:trPr>
        <w:tc>
          <w:tcPr>
            <w:tcW w:type="dxa" w:w="152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ケースA</w:t>
            </w:r>
          </w:p>
        </w:tc>
        <w:tc>
          <w:tcPr>
            <w:tcW w:type="dxa" w:w="349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客観スコアが低く、主観スコアも低い</w:t>
            </w:r>
          </w:p>
        </w:tc>
        <w:tc>
          <w:tcPr>
            <w:tcW w:type="dxa" w:w="4623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環境そのものが足りていない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可能性がある</w:t>
            </w:r>
          </w:p>
        </w:tc>
      </w:tr>
      <w:tr>
        <w:trPr>
          <w:cantSplit/>
        </w:trPr>
        <w:tc>
          <w:tcPr>
            <w:tcW w:type="dxa" w:w="1522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ケースB</w:t>
            </w:r>
          </w:p>
        </w:tc>
        <w:tc>
          <w:tcPr>
            <w:tcW w:type="dxa" w:w="3493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客観スコアは一定水準だが、主観スコアは低い</w:t>
            </w:r>
          </w:p>
        </w:tc>
        <w:tc>
          <w:tcPr>
            <w:tcW w:type="dxa" w:w="4623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既存の客観指標では、実感の低さを説明しきれていない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可能性がある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この2つを分けずに進めると、</w:t>
      </w:r>
      <w:r>
        <w:rPr>
          <w:rFonts w:ascii="Yu Gothic" w:hAnsi="Yu Gothic" w:eastAsia="Yu Gothic" w:cs="Yu Gothic"/>
          <w:b/>
          <w:color w:val="1F2933"/>
          <w:sz w:val="21"/>
        </w:rPr>
        <w:t>打ち手が「施設を増やす」一辺倒になり、和歌山が実行できない提言になります。</w:t>
      </w:r>
      <w:r>
        <w:rPr>
          <w:rFonts w:ascii="Yu Gothic" w:hAnsi="Yu Gothic" w:eastAsia="Yu Gothic" w:cs="Yu Gothic"/>
          <w:b w:val="0"/>
          <w:color w:val="1F2933"/>
          <w:sz w:val="21"/>
        </w:rPr>
        <w:t xml:space="preserve"> そこで STEP 3 で「主観スコアを客観的構成値でどこまで説明できるか」を先に確かめ、道を分けます。</w:t>
      </w:r>
    </w:p>
    <w:tbl>
      <w:tblPr>
        <w:tblW w:type="auto" w:w="0"/>
        <w:tblBorders>
          <w:top w:val="single" w:sz="6" w:space="0" w:color="D5DEE3"/>
          <w:left w:val="single" w:sz="6" w:space="0" w:color="D5DEE3"/>
          <w:bottom w:val="single" w:sz="6" w:space="0" w:color="D5DEE3"/>
          <w:right w:val="single" w:sz="6" w:space="0" w:color="D5DEE3"/>
          <w:insideH w:val="single" w:sz="6" w:space="0" w:color="D5DEE3"/>
          <w:insideV w:val="single" w:sz="6" w:space="0" w:color="D5DEE3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282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ルート</w:t>
            </w:r>
          </w:p>
        </w:tc>
        <w:tc>
          <w:tcPr>
            <w:tcW w:type="dxa" w:w="1305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790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次にやること</w:t>
            </w:r>
          </w:p>
        </w:tc>
        <w:tc>
          <w:tcPr>
            <w:tcW w:type="dxa" w:w="3261"/>
            <w:shd w:val="clear" w:color="auto" w:fill="12344D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FFFFFF"/>
                <w:sz w:val="19"/>
              </w:rPr>
              <w:t>想定される政策の型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ルートA</w:t>
            </w:r>
          </w:p>
        </w:tc>
        <w:tc>
          <w:tcPr>
            <w:tcW w:type="dxa" w:w="1305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説明できる</w:t>
            </w:r>
          </w:p>
        </w:tc>
        <w:tc>
          <w:tcPr>
            <w:tcW w:type="dxa" w:w="3790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STEP 4A：個別KPI（客観的構成値）まで掘り下げる</w:t>
            </w:r>
          </w:p>
        </w:tc>
        <w:tc>
          <w:tcPr>
            <w:tcW w:type="dxa" w:w="3261"/>
            <w:shd w:val="clear" w:color="auto" w:fill="FFFFFF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ハード寄り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（環境の水準そのものを上げる）</w:t>
            </w:r>
          </w:p>
        </w:tc>
      </w:tr>
      <w:tr>
        <w:trPr>
          <w:cantSplit/>
        </w:trPr>
        <w:tc>
          <w:tcPr>
            <w:tcW w:type="dxa" w:w="1282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ルートB</w:t>
            </w:r>
          </w:p>
        </w:tc>
        <w:tc>
          <w:tcPr>
            <w:tcW w:type="dxa" w:w="1305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説明できない</w:t>
            </w:r>
          </w:p>
        </w:tc>
        <w:tc>
          <w:tcPr>
            <w:tcW w:type="dxa" w:w="3790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STEP 4B：客観環境が同程度の自治体を集めて群間比較し、追加要因を探す</w:t>
            </w:r>
          </w:p>
        </w:tc>
        <w:tc>
          <w:tcPr>
            <w:tcW w:type="dxa" w:w="3261"/>
            <w:shd w:val="clear" w:color="auto" w:fill="F2F6F8"/>
          </w:tcPr>
          <w:p>
            <w:pPr>
              <w:spacing w:before="40" w:after="40" w:line="300" w:lineRule="auto"/>
            </w:pPr>
            <w:r>
              <w:rPr>
                <w:rFonts w:ascii="Yu Gothic" w:hAnsi="Yu Gothic" w:eastAsia="Yu Gothic" w:cs="Yu Gothic"/>
                <w:b/>
                <w:color w:val="1F2933"/>
                <w:sz w:val="19"/>
              </w:rPr>
              <w:t>ソフト寄り</w:t>
            </w:r>
            <w:r>
              <w:rPr>
                <w:rFonts w:ascii="Yu Gothic" w:hAnsi="Yu Gothic" w:eastAsia="Yu Gothic" w:cs="Yu Gothic"/>
                <w:b w:val="0"/>
                <w:color w:val="1F2933"/>
                <w:sz w:val="19"/>
              </w:rPr>
              <w:t>（周知・運用・使いやすさを上げる）</w:t>
            </w:r>
          </w:p>
        </w:tc>
      </w:tr>
    </w:tbl>
    <w:p>
      <w:pPr>
        <w:spacing w:before="0" w:after="160" w:line="240" w:lineRule="auto"/>
      </w:pPr>
      <w:r>
        <w:rPr>
          <w:rFonts w:ascii="Yu Gothic" w:hAnsi="Yu Gothic" w:eastAsia="Yu Gothic" w:cs="Yu Gothic"/>
          <w:b w:val="0"/>
          <w:color w:val="1F2933"/>
          <w:sz w:val="2"/>
        </w:rPr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ルートBは「相関が低いから捨てる」の逆で、「既存指標では測れていない領域」として拾い上げるための道です。</w:t>
      </w:r>
      <w:r>
        <w:rPr>
          <w:rFonts w:ascii="Yu Gothic" w:hAnsi="Yu Gothic" w:eastAsia="Yu Gothic" w:cs="Yu Gothic"/>
          <w:b w:val="0"/>
          <w:color w:val="1F2933"/>
          <w:sz w:val="21"/>
        </w:rPr>
        <w:t xml:space="preserve"> ここに、他チームとの差別化になりうる定性データ・地理データの活用が入ります。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/>
          <w:color w:val="1F2933"/>
          <w:sz w:val="21"/>
        </w:rPr>
        <w:t>気になった点は、説明の途中でも遠慮なくおっしゃってください。</w:t>
      </w:r>
      <w:r>
        <w:rPr>
          <w:rFonts w:ascii="Yu Gothic" w:hAnsi="Yu Gothic" w:eastAsia="Yu Gothic" w:cs="Yu Gothic"/>
          <w:b w:val="0"/>
          <w:color w:val="1F2933"/>
          <w:sz w:val="21"/>
        </w:rPr>
        <w:t>「この前提が違う」「実務ではこうする」という一言が一番ありがたいです。</w:t>
      </w:r>
    </w:p>
    <w:p>
      <w:pPr>
        <w:spacing w:before="0" w:after="140" w:line="324" w:lineRule="auto"/>
      </w:pPr>
      <w:r>
        <w:rPr>
          <w:rFonts w:ascii="Yu Gothic" w:hAnsi="Yu Gothic" w:eastAsia="Yu Gothic" w:cs="Yu Gothic"/>
          <w:b w:val="0"/>
          <w:color w:val="1F2933"/>
          <w:sz w:val="21"/>
        </w:rPr>
        <w:t>お忙しいところ恐れ入りますが、どうぞよろしくお願いいたします。</w:t>
      </w:r>
    </w:p>
    <w:sectPr w:rsidR="00FC693F" w:rsidRPr="0006063C" w:rsidSect="00034616"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 w:cs="Yu Gothic"/>
        <w:b w:val="0"/>
        <w:color w:val="6B7A8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ref.wakayama.lg.jp/prefg/020300/data/competition/2026_10_d/fil/2026youkou.pdf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