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both"/>
        <w:rPr/>
      </w:pPr>
      <w:r>
        <w:rPr/>
        <w:t>Marc Sánchez López</w:t>
        <w:tab/>
        <w:tab/>
        <w:tab/>
        <w:tab/>
        <w:tab/>
        <w:tab/>
        <w:tab/>
        <w:tab/>
        <w:t>22/04/2024</w:t>
      </w:r>
    </w:p>
    <w:p>
      <w:pPr>
        <w:pStyle w:val="Normal"/>
        <w:jc w:val="both"/>
        <w:rPr/>
      </w:pPr>
      <w:r>
        <w:rPr>
          <w:rFonts w:cs="Calibri" w:cstheme="majorHAnsi"/>
          <w:b/>
          <w:sz w:val="36"/>
          <w:szCs w:val="36"/>
        </w:rPr>
        <w:t xml:space="preserve">UF2_LA FARMACIOLA. </w:t>
      </w:r>
      <w:r>
        <w:rPr>
          <w:rFonts w:cs="Calibri" w:cstheme="majorHAnsi"/>
          <w:b/>
          <w:bCs/>
          <w:sz w:val="32"/>
          <w:szCs w:val="32"/>
        </w:rPr>
        <w:t>En tots els centres de treball, és obligatori comptar amb una farmaciola de primers auxilis.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Calibri" w:cstheme="majorHAnsi"/>
          <w:b/>
          <w:bCs/>
          <w:sz w:val="24"/>
          <w:szCs w:val="24"/>
        </w:rPr>
        <w:t>És obligatori tenir una farmaciola en tots els centres de treball?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/>
      </w:pPr>
      <w:r>
        <w:rPr>
          <w:b w:val="false"/>
          <w:bCs w:val="false"/>
          <w:color w:val="2A6099"/>
        </w:rPr>
        <w:t xml:space="preserve">Sí ho és, en totes les empreses i negocis (segons l’article 10 del decret </w:t>
      </w:r>
      <w:r>
        <w:rPr>
          <w:color w:val="2A6099"/>
        </w:rPr>
        <w:t xml:space="preserve">486/1997 </w:t>
      </w:r>
      <w:r>
        <w:rPr>
          <w:color w:val="2A6099"/>
        </w:rPr>
        <w:t>)</w:t>
      </w:r>
      <w:r>
        <w:rPr>
          <w:b w:val="false"/>
          <w:bCs w:val="false"/>
          <w:color w:val="2A6099"/>
        </w:rPr>
        <w:t xml:space="preserve">.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Calibri" w:cstheme="majorHAnsi"/>
          <w:b/>
          <w:bCs/>
          <w:sz w:val="24"/>
          <w:szCs w:val="24"/>
        </w:rPr>
        <w:t>Quins són els elements bàsics que ha de contenir una farmaciola?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color w:val="2A6099"/>
        </w:rPr>
      </w:pPr>
      <w:r>
        <w:rPr>
          <w:color w:val="2A6099"/>
        </w:rPr>
        <w:t>El material mínim que ha de contenir la farmaciola és:</w:t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  <w:t>·</w:t>
        <w:tab/>
      </w:r>
      <w:r>
        <w:rPr>
          <w:color w:val="2A6099"/>
        </w:rPr>
        <w:t xml:space="preserve">Desinfectants autoritzats </w:t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  <w:t>·</w:t>
        <w:tab/>
      </w:r>
      <w:r>
        <w:rPr>
          <w:color w:val="2A6099"/>
        </w:rPr>
        <w:t xml:space="preserve">Antisèptics autoritzats </w:t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  <w:t>·</w:t>
        <w:tab/>
      </w:r>
      <w:r>
        <w:rPr>
          <w:color w:val="2A6099"/>
        </w:rPr>
        <w:t xml:space="preserve">Guants d’un sol ús </w:t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  <w:t>·</w:t>
        <w:tab/>
      </w:r>
      <w:r>
        <w:rPr>
          <w:color w:val="2A6099"/>
        </w:rPr>
        <w:t xml:space="preserve">Cotó hidròfil (absorbent) </w:t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  <w:t>·</w:t>
        <w:tab/>
      </w:r>
      <w:r>
        <w:rPr>
          <w:color w:val="2A6099"/>
        </w:rPr>
        <w:t xml:space="preserve">Gases estèrils </w:t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  <w:t>·</w:t>
        <w:tab/>
      </w:r>
      <w:r>
        <w:rPr>
          <w:color w:val="2A6099"/>
        </w:rPr>
        <w:t xml:space="preserve">Benes </w:t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  <w:t>·</w:t>
        <w:tab/>
      </w:r>
      <w:r>
        <w:rPr>
          <w:color w:val="2A6099"/>
        </w:rPr>
        <w:t xml:space="preserve">Esparadrap </w:t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  <w:t>·</w:t>
        <w:tab/>
      </w:r>
      <w:r>
        <w:rPr>
          <w:color w:val="2A6099"/>
        </w:rPr>
        <w:t xml:space="preserve">Tiretes </w:t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  <w:t>·</w:t>
        <w:tab/>
      </w:r>
      <w:r>
        <w:rPr>
          <w:color w:val="2A6099"/>
        </w:rPr>
        <w:t xml:space="preserve">Tisores de punta rodona </w:t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  <w:t>·</w:t>
        <w:tab/>
      </w:r>
      <w:r>
        <w:rPr>
          <w:color w:val="2A6099"/>
        </w:rPr>
        <w:t xml:space="preserve">Pinces petites </w:t>
      </w:r>
    </w:p>
    <w:p>
      <w:pPr>
        <w:pStyle w:val="ListParagraph"/>
        <w:jc w:val="both"/>
        <w:rPr>
          <w:color w:val="2A6099"/>
        </w:rPr>
      </w:pPr>
      <w:r>
        <w:rPr>
          <w:color w:val="2A6099"/>
        </w:rPr>
        <w:t>(</w:t>
      </w:r>
      <w:hyperlink r:id="rId2">
        <w:r>
          <w:rPr>
            <w:rStyle w:val="Hyperlink"/>
            <w:color w:val="2A6099"/>
          </w:rPr>
          <w:t>https://medicaments.gencat.cat/ca/ciutadania/informacio-i-consells/preguntes-frequents/com-cal-desar-els-medicaments/la-farmaciola-a-la-feina/index.html</w:t>
        </w:r>
      </w:hyperlink>
      <w:r>
        <w:rPr>
          <w:color w:val="2A6099"/>
        </w:rPr>
        <w:t>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Calibri" w:cstheme="majorHAnsi"/>
          <w:b/>
          <w:bCs/>
          <w:sz w:val="24"/>
          <w:szCs w:val="24"/>
        </w:rPr>
        <w:t xml:space="preserve">Com s’han de emmagatzemar els elements que formen la farmaciola? 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b w:val="false"/>
          <w:bCs w:val="false"/>
          <w:color w:val="2A6099"/>
        </w:rPr>
      </w:pPr>
      <w:r>
        <w:rPr>
          <w:b w:val="false"/>
          <w:bCs w:val="false"/>
          <w:color w:val="2A6099"/>
        </w:rPr>
        <w:t>Per a les gases estèrils és recomanable que estiguin en bosses individuals, per les benes és convenient tenir-ne de diferents mides (5cm, 7cm i 10cm), per l’esparadrap és recomanable que sigui antial·lèrgic i per a les tisores i pinces cal vigilar que no estiguin rovellades o en mal estat.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color w:val="2A6099"/>
        </w:rPr>
      </w:pPr>
      <w:r>
        <w:rPr>
          <w:color w:val="2A6099"/>
        </w:rPr>
        <w:t>(</w:t>
      </w:r>
      <w:hyperlink r:id="rId3">
        <w:r>
          <w:rPr>
            <w:rStyle w:val="Hyperlink"/>
            <w:color w:val="2A6099"/>
          </w:rPr>
          <w:t>https://medicaments.gencat.cat/ca/ciutadania/informacio-i-consells/preguntes-frequents/com-cal-desar-els-medicaments/la-farmaciola-a-la-feina/index.html</w:t>
        </w:r>
      </w:hyperlink>
      <w:r>
        <w:rPr>
          <w:color w:val="2A6099"/>
        </w:rPr>
        <w:t>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Calibri" w:cstheme="majorHAnsi"/>
          <w:b/>
          <w:bCs/>
          <w:sz w:val="24"/>
          <w:szCs w:val="24"/>
        </w:rPr>
        <w:t>Quins elements, relacionats amb els primers auxilis, han de contenir els centres de treballs amb més de 50 treballadors.</w:t>
      </w:r>
    </w:p>
    <w:p>
      <w:pPr>
        <w:pStyle w:val="ListParagraph"/>
        <w:numPr>
          <w:ilvl w:val="0"/>
          <w:numId w:val="0"/>
        </w:numPr>
        <w:ind w:hanging="0" w:left="720"/>
        <w:jc w:val="both"/>
        <w:rPr>
          <w:b w:val="false"/>
          <w:bCs w:val="false"/>
          <w:color w:val="2A6099"/>
        </w:rPr>
      </w:pPr>
      <w:r>
        <w:rPr>
          <w:rFonts w:cs="Calibri" w:cstheme="majorHAnsi"/>
          <w:b w:val="false"/>
          <w:bCs w:val="false"/>
          <w:color w:val="2A6099"/>
          <w:sz w:val="24"/>
          <w:szCs w:val="24"/>
        </w:rPr>
        <w:t>Els centres de treball amb més de 50 treballadors, a part de tenir la farmaciola han de tenir: una llitera i una font d’aigua potable.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Calibri" w:cstheme="majorHAnsi"/>
          <w:b/>
          <w:bCs/>
          <w:sz w:val="24"/>
          <w:szCs w:val="24"/>
        </w:rPr>
        <w:t>En què centres de treball han de disposar d’un local destinar a primers auxilis?</w:t>
      </w:r>
    </w:p>
    <w:p>
      <w:pPr>
        <w:pStyle w:val="ListParagraph"/>
        <w:numPr>
          <w:ilvl w:val="0"/>
          <w:numId w:val="0"/>
        </w:numPr>
        <w:spacing w:before="0" w:after="160"/>
        <w:ind w:hanging="0" w:left="720"/>
        <w:contextualSpacing/>
        <w:jc w:val="both"/>
        <w:rPr>
          <w:b w:val="false"/>
          <w:bCs w:val="false"/>
          <w:color w:val="2A6099"/>
        </w:rPr>
      </w:pPr>
      <w:r>
        <w:rPr>
          <w:rFonts w:cs="Calibri" w:cstheme="majorHAnsi"/>
          <w:b w:val="false"/>
          <w:bCs w:val="false"/>
          <w:color w:val="2A6099"/>
          <w:sz w:val="24"/>
          <w:szCs w:val="24"/>
        </w:rPr>
        <w:t>Tots aquells centres que tinguin més de 50 treballadors.</w:t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708" w:top="1700" w:footer="708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Helvetica Neue">
    <w:charset w:val="00"/>
    <w:family w:val="roman"/>
    <w:pitch w:val="variable"/>
  </w:font>
  <w:font w:name="Euphem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lineRule="auto" w:line="276" w:before="0" w:after="0"/>
      <w:rPr>
        <w:rFonts w:ascii="Helvetica Neue" w:hAnsi="Helvetica Neue" w:eastAsia="Helvetica Neue" w:cs="Helvetica Neue"/>
        <w:sz w:val="24"/>
        <w:szCs w:val="24"/>
      </w:rPr>
    </w:pPr>
    <w:r>
      <w:rPr>
        <w:rFonts w:eastAsia="Helvetica Neue" w:cs="Helvetica Neue" w:ascii="Helvetica Neue" w:hAnsi="Helvetica Neue"/>
        <w:sz w:val="24"/>
        <w:szCs w:val="24"/>
      </w:rPr>
    </w:r>
  </w:p>
  <w:tbl>
    <w:tblPr>
      <w:tblStyle w:val="a0"/>
      <w:tblW w:w="8492" w:type="dxa"/>
      <w:jc w:val="left"/>
      <w:tblInd w:w="-115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1982"/>
      <w:gridCol w:w="5249"/>
      <w:gridCol w:w="1261"/>
    </w:tblGrid>
    <w:tr>
      <w:trPr>
        <w:trHeight w:val="285" w:hRule="atLeast"/>
      </w:trPr>
      <w:tc>
        <w:tcPr>
          <w:tcW w:w="1982" w:type="dxa"/>
          <w:vMerge w:val="restart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160"/>
            <w:ind w:right="-108"/>
            <w:jc w:val="center"/>
            <w:rPr>
              <w:sz w:val="16"/>
              <w:szCs w:val="16"/>
            </w:rPr>
          </w:pPr>
          <w:r>
            <w:rPr/>
            <w:drawing>
              <wp:inline distT="0" distB="0" distL="0" distR="0">
                <wp:extent cx="1121410" cy="415925"/>
                <wp:effectExtent l="0" t="0" r="0" b="0"/>
                <wp:docPr id="2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1410" cy="415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9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160"/>
            <w:ind w:right="360"/>
            <w:jc w:val="both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</w:r>
        </w:p>
      </w:tc>
      <w:tc>
        <w:tcPr>
          <w:tcW w:w="1261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160"/>
            <w:ind w:right="360"/>
            <w:jc w:val="both"/>
            <w:rPr>
              <w:sz w:val="16"/>
              <w:szCs w:val="16"/>
            </w:rPr>
          </w:pPr>
          <w:r>
            <w:rPr>
              <w:sz w:val="16"/>
              <w:szCs w:val="16"/>
            </w:rPr>
            <w:t>Versió 00</w:t>
          </w:r>
        </w:p>
      </w:tc>
    </w:tr>
    <w:tr>
      <w:trPr>
        <w:trHeight w:val="305" w:hRule="atLeast"/>
      </w:trPr>
      <w:tc>
        <w:tcPr>
          <w:tcW w:w="1982" w:type="dxa"/>
          <w:vMerge w:val="continue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widowControl w:val="false"/>
            <w:pBdr/>
            <w:spacing w:lineRule="auto" w:line="276" w:before="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49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160"/>
            <w:ind w:right="360"/>
            <w:jc w:val="both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</w:r>
        </w:p>
      </w:tc>
      <w:tc>
        <w:tcPr>
          <w:tcW w:w="1261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/>
            <w:ind w:right="360"/>
            <w:jc w:val="both"/>
            <w:rPr/>
          </w:pPr>
          <w:r>
            <w:rPr>
              <w:sz w:val="16"/>
              <w:szCs w:val="16"/>
            </w:rPr>
            <w:t xml:space="preserve">Pàgina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  <w:p>
          <w:pPr>
            <w:pStyle w:val="Normal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160"/>
            <w:ind w:right="360"/>
            <w:jc w:val="both"/>
            <w:rPr/>
          </w:pPr>
          <w:r>
            <w:rPr/>
          </w:r>
        </w:p>
      </w:tc>
    </w:tr>
  </w:tbl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rPr>
        <w:rFonts w:ascii="Helvetica Neue" w:hAnsi="Helvetica Neue" w:eastAsia="Helvetica Neue" w:cs="Helvetica Neue"/>
        <w:sz w:val="24"/>
        <w:szCs w:val="24"/>
      </w:rPr>
    </w:pPr>
    <w:r>
      <w:rPr>
        <w:rFonts w:eastAsia="Helvetica Neue" w:cs="Helvetica Neue" w:ascii="Helvetica Neue" w:hAnsi="Helvetica Neue"/>
        <w:sz w:val="24"/>
        <w:szCs w:val="24"/>
      </w:rPr>
    </w:r>
  </w:p>
  <w:tbl>
    <w:tblPr>
      <w:tblStyle w:val="a"/>
      <w:tblW w:w="951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510"/>
      <w:gridCol w:w="4139"/>
      <w:gridCol w:w="1861"/>
    </w:tblGrid>
    <w:tr>
      <w:trPr>
        <w:trHeight w:val="443" w:hRule="atLeast"/>
      </w:trPr>
      <w:tc>
        <w:tcPr>
          <w:tcW w:w="3510" w:type="dxa"/>
          <w:vMerge w:val="restart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pBdr/>
            <w:tabs>
              <w:tab w:val="clear" w:pos="720"/>
              <w:tab w:val="center" w:pos="4252" w:leader="none"/>
              <w:tab w:val="right" w:pos="8504" w:leader="none"/>
            </w:tabs>
            <w:spacing w:before="0" w:after="160"/>
            <w:rPr>
              <w:b/>
              <w:color w:val="6FA8DC"/>
              <w:sz w:val="38"/>
              <w:szCs w:val="38"/>
            </w:rPr>
          </w:pPr>
          <w:r>
            <w:rPr>
              <w:rFonts w:eastAsia="Arial" w:cs="Arial" w:ascii="Arial" w:hAnsi="Arial"/>
              <w:color w:val="6FA8DC"/>
              <w:sz w:val="20"/>
              <w:szCs w:val="20"/>
            </w:rPr>
            <w:t> </w:t>
          </w:r>
          <w:r>
            <w:rPr>
              <w:rFonts w:eastAsia="Helvetica Neue" w:cs="Helvetica Neue" w:ascii="Helvetica Neue" w:hAnsi="Helvetica Neue"/>
              <w:color w:val="6FA8DC"/>
              <w:sz w:val="24"/>
              <w:szCs w:val="24"/>
            </w:rPr>
            <w:t xml:space="preserve"> </w:t>
          </w:r>
          <w:r>
            <w:rPr>
              <w:rFonts w:eastAsia="Helvetica Neue" w:cs="Helvetica Neue" w:ascii="Helvetica Neue" w:hAnsi="Helvetica Neue"/>
              <w:b/>
              <w:color w:val="6FA8DC"/>
              <w:sz w:val="40"/>
              <w:szCs w:val="40"/>
            </w:rPr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-635</wp:posOffset>
                </wp:positionH>
                <wp:positionV relativeFrom="paragraph">
                  <wp:posOffset>635</wp:posOffset>
                </wp:positionV>
                <wp:extent cx="2162175" cy="409575"/>
                <wp:effectExtent l="0" t="0" r="0" b="0"/>
                <wp:wrapSquare wrapText="bothSides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eastAsia="Helvetica Neue" w:cs="Helvetica Neue" w:ascii="Helvetica Neue" w:hAnsi="Helvetica Neue"/>
              <w:b/>
              <w:color w:val="6FA8DC"/>
              <w:sz w:val="40"/>
              <w:szCs w:val="40"/>
            </w:rPr>
            <w:t>Institut Sabadell</w:t>
          </w:r>
        </w:p>
      </w:tc>
      <w:tc>
        <w:tcPr>
          <w:tcW w:w="4139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pBdr/>
            <w:tabs>
              <w:tab w:val="clear" w:pos="720"/>
              <w:tab w:val="center" w:pos="4252" w:leader="none"/>
              <w:tab w:val="right" w:pos="8504" w:leader="none"/>
            </w:tabs>
            <w:spacing w:before="0" w:after="160"/>
            <w:jc w:val="center"/>
            <w:rPr>
              <w:rFonts w:ascii="Euphemia" w:hAnsi="Euphemia" w:eastAsia="Euphemia" w:cs="Euphemia"/>
              <w:color w:val="000000"/>
              <w:highlight w:val="white"/>
            </w:rPr>
          </w:pPr>
          <w:r>
            <w:rPr>
              <w:rFonts w:eastAsia="Euphemia" w:cs="Euphemia" w:ascii="Euphemia" w:hAnsi="Euphemia"/>
              <w:i/>
              <w:sz w:val="20"/>
              <w:szCs w:val="20"/>
              <w:highlight w:val="white"/>
            </w:rPr>
            <w:t xml:space="preserve">Departament informàtica </w:t>
          </w:r>
        </w:p>
      </w:tc>
      <w:tc>
        <w:tcPr>
          <w:tcW w:w="1861" w:type="dxa"/>
          <w:vMerge w:val="restart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pBdr/>
            <w:tabs>
              <w:tab w:val="clear" w:pos="720"/>
              <w:tab w:val="center" w:pos="4252" w:leader="none"/>
              <w:tab w:val="right" w:pos="8504" w:leader="none"/>
            </w:tabs>
            <w:spacing w:before="0" w:after="160"/>
            <w:jc w:val="right"/>
            <w:rPr>
              <w:color w:val="000000"/>
              <w:sz w:val="20"/>
              <w:szCs w:val="20"/>
              <w:highlight w:val="white"/>
            </w:rPr>
          </w:pPr>
          <w:r>
            <w:rPr>
              <w:rFonts w:eastAsia="Euphemia" w:cs="Euphemia" w:ascii="Euphemia" w:hAnsi="Euphemia"/>
              <w:color w:val="000000"/>
              <w:sz w:val="20"/>
              <w:szCs w:val="20"/>
            </w:rPr>
            <w:t>Curs</w:t>
          </w:r>
          <w:r>
            <w:rPr>
              <w:rFonts w:eastAsia="Euphemia" w:cs="Euphemia" w:ascii="Euphemia" w:hAnsi="Euphemia"/>
              <w:color w:val="000000"/>
              <w:sz w:val="20"/>
              <w:szCs w:val="20"/>
              <w:highlight w:val="white"/>
            </w:rPr>
            <w:t xml:space="preserve"> 202</w:t>
          </w:r>
          <w:r>
            <w:rPr>
              <w:rFonts w:eastAsia="Euphemia" w:cs="Euphemia" w:ascii="Euphemia" w:hAnsi="Euphemia"/>
              <w:sz w:val="20"/>
              <w:szCs w:val="20"/>
              <w:highlight w:val="white"/>
            </w:rPr>
            <w:t>3</w:t>
          </w:r>
          <w:r>
            <w:rPr>
              <w:rFonts w:eastAsia="Euphemia" w:cs="Euphemia" w:ascii="Euphemia" w:hAnsi="Euphemia"/>
              <w:color w:val="000000"/>
              <w:sz w:val="20"/>
              <w:szCs w:val="20"/>
              <w:highlight w:val="white"/>
            </w:rPr>
            <w:t>-202</w:t>
          </w:r>
          <w:r>
            <w:rPr>
              <w:rFonts w:eastAsia="Euphemia" w:cs="Euphemia" w:ascii="Euphemia" w:hAnsi="Euphemia"/>
              <w:sz w:val="20"/>
              <w:szCs w:val="20"/>
              <w:highlight w:val="white"/>
            </w:rPr>
            <w:t>4</w:t>
          </w:r>
        </w:p>
      </w:tc>
    </w:tr>
    <w:tr>
      <w:trPr>
        <w:trHeight w:val="443" w:hRule="atLeast"/>
      </w:trPr>
      <w:tc>
        <w:tcPr>
          <w:tcW w:w="3510" w:type="dxa"/>
          <w:vMerge w:val="continue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pBdr/>
            <w:tabs>
              <w:tab w:val="clear" w:pos="720"/>
              <w:tab w:val="center" w:pos="4252" w:leader="none"/>
              <w:tab w:val="right" w:pos="8504" w:leader="none"/>
            </w:tabs>
            <w:spacing w:before="0" w:after="160"/>
            <w:rPr>
              <w:rFonts w:ascii="Arial" w:hAnsi="Arial" w:eastAsia="Arial" w:cs="Arial"/>
              <w:color w:val="6FA8DC"/>
              <w:sz w:val="20"/>
              <w:szCs w:val="20"/>
            </w:rPr>
          </w:pPr>
          <w:r>
            <w:rPr>
              <w:rFonts w:eastAsia="Arial" w:cs="Arial" w:ascii="Arial" w:hAnsi="Arial"/>
              <w:color w:val="6FA8DC"/>
              <w:sz w:val="20"/>
              <w:szCs w:val="20"/>
            </w:rPr>
          </w:r>
        </w:p>
      </w:tc>
      <w:tc>
        <w:tcPr>
          <w:tcW w:w="4139" w:type="dxa"/>
          <w:vMerge w:val="restart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jc w:val="center"/>
            <w:rPr>
              <w:i/>
              <w:i/>
              <w:sz w:val="24"/>
              <w:szCs w:val="24"/>
              <w:highlight w:val="white"/>
            </w:rPr>
          </w:pPr>
          <w:r>
            <w:rPr>
              <w:i/>
              <w:sz w:val="24"/>
              <w:szCs w:val="24"/>
              <w:highlight w:val="white"/>
            </w:rPr>
            <w:t>Formació i orientació laboral</w:t>
          </w:r>
        </w:p>
        <w:p>
          <w:pPr>
            <w:pStyle w:val="Normal"/>
            <w:spacing w:before="0" w:after="160"/>
            <w:jc w:val="center"/>
            <w:rPr>
              <w:i/>
              <w:i/>
              <w:sz w:val="24"/>
              <w:szCs w:val="24"/>
              <w:highlight w:val="white"/>
            </w:rPr>
          </w:pPr>
          <w:r>
            <w:rPr>
              <w:i/>
              <w:sz w:val="24"/>
              <w:szCs w:val="24"/>
              <w:highlight w:val="white"/>
            </w:rPr>
            <w:t>UF2 – Prevenció de Riscos Laborals</w:t>
          </w:r>
        </w:p>
      </w:tc>
      <w:tc>
        <w:tcPr>
          <w:tcW w:w="1861" w:type="dxa"/>
          <w:vMerge w:val="continue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pBdr/>
            <w:tabs>
              <w:tab w:val="clear" w:pos="720"/>
              <w:tab w:val="center" w:pos="4252" w:leader="none"/>
              <w:tab w:val="right" w:pos="8504" w:leader="none"/>
            </w:tabs>
            <w:spacing w:before="0" w:after="160"/>
            <w:jc w:val="right"/>
            <w:rPr>
              <w:rFonts w:ascii="Euphemia" w:hAnsi="Euphemia" w:eastAsia="Euphemia" w:cs="Euphemia"/>
              <w:color w:val="000000"/>
              <w:sz w:val="20"/>
              <w:szCs w:val="20"/>
            </w:rPr>
          </w:pPr>
          <w:r>
            <w:rPr>
              <w:rFonts w:eastAsia="Euphemia" w:cs="Euphemia" w:ascii="Euphemia" w:hAnsi="Euphemia"/>
              <w:color w:val="000000"/>
              <w:sz w:val="20"/>
              <w:szCs w:val="20"/>
            </w:rPr>
          </w:r>
        </w:p>
      </w:tc>
    </w:tr>
    <w:tr>
      <w:trPr>
        <w:trHeight w:val="624" w:hRule="atLeast"/>
      </w:trPr>
      <w:tc>
        <w:tcPr>
          <w:tcW w:w="3510" w:type="dxa"/>
          <w:vMerge w:val="continue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widowControl w:val="false"/>
            <w:pBdr/>
            <w:spacing w:lineRule="auto" w:line="240" w:before="0" w:after="0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4139" w:type="dxa"/>
          <w:vMerge w:val="continue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i/>
              <w:i/>
              <w:sz w:val="32"/>
              <w:szCs w:val="32"/>
              <w:highlight w:val="yellow"/>
            </w:rPr>
          </w:pPr>
          <w:r>
            <w:rPr>
              <w:i/>
              <w:sz w:val="32"/>
              <w:szCs w:val="32"/>
              <w:highlight w:val="yellow"/>
            </w:rPr>
          </w:r>
        </w:p>
      </w:tc>
      <w:tc>
        <w:tcPr>
          <w:tcW w:w="1861" w:type="dxa"/>
          <w:vMerge w:val="continue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</w:tcPr>
        <w:p>
          <w:pPr>
            <w:pStyle w:val="Normal"/>
            <w:widowControl w:val="false"/>
            <w:pBdr/>
            <w:spacing w:lineRule="auto" w:line="276" w:before="0" w:after="0"/>
            <w:rPr>
              <w:sz w:val="32"/>
              <w:szCs w:val="32"/>
            </w:rPr>
          </w:pPr>
          <w:r>
            <w:rPr>
              <w:sz w:val="32"/>
              <w:szCs w:val="32"/>
            </w:rPr>
          </w:r>
        </w:p>
      </w:tc>
    </w:tr>
  </w:tbl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 w:before="0" w:after="160"/>
      <w:ind w:hanging="720"/>
      <w:rPr>
        <w:rFonts w:ascii="Helvetica Neue" w:hAnsi="Helvetica Neue" w:eastAsia="Helvetica Neue" w:cs="Helvetica Neue"/>
        <w:sz w:val="24"/>
        <w:szCs w:val="24"/>
      </w:rPr>
    </w:pPr>
    <w:r>
      <w:rPr>
        <w:rFonts w:eastAsia="Helvetica Neue" w:cs="Helvetica Neue" w:ascii="Helvetica Neue" w:hAnsi="Helvetica Neue"/>
        <w:sz w:val="24"/>
        <w:szCs w:val="24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ca-ES" w:eastAsia="ca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ca-ES" w:eastAsia="ca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lineRule="auto" w:line="240"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aleraCar" w:customStyle="1">
    <w:name w:val="Capçalera Car"/>
    <w:basedOn w:val="DefaultParagraphFont"/>
    <w:uiPriority w:val="99"/>
    <w:qFormat/>
    <w:rsid w:val="00730897"/>
    <w:rPr/>
  </w:style>
  <w:style w:type="character" w:styleId="PeuCar" w:customStyle="1">
    <w:name w:val="Peu Car"/>
    <w:basedOn w:val="DefaultParagraphFont"/>
    <w:uiPriority w:val="99"/>
    <w:qFormat/>
    <w:rsid w:val="00730897"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Encapalament">
    <w:name w:val="Encapçalamen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paleraipeu">
    <w:name w:val="Capçalera i peu"/>
    <w:basedOn w:val="Normal"/>
    <w:qFormat/>
    <w:pPr/>
    <w:rPr/>
  </w:style>
  <w:style w:type="paragraph" w:styleId="Header">
    <w:name w:val="Header"/>
    <w:basedOn w:val="Normal"/>
    <w:link w:val="CapaleraCar"/>
    <w:uiPriority w:val="99"/>
    <w:unhideWhenUsed/>
    <w:rsid w:val="00730897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euCar"/>
    <w:uiPriority w:val="99"/>
    <w:unhideWhenUsed/>
    <w:rsid w:val="00730897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20f8d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d9376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u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caments.gencat.cat/ca/ciutadania/informacio-i-consells/preguntes-frequents/com-cal-desar-els-medicaments/la-farmaciola-a-la-feina/index.html" TargetMode="External"/><Relationship Id="rId3" Type="http://schemas.openxmlformats.org/officeDocument/2006/relationships/hyperlink" Target="https://medicaments.gencat.cat/ca/ciutadania/informacio-i-consells/preguntes-frequents/com-cal-desar-els-medicaments/la-farmaciola-a-la-feina/index.html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LibreOffice/7.6.6.3$Windows_X86_64 LibreOffice_project/d97b2716a9a4a2ce1391dee1765565ea469b0ae7</Application>
  <AppVersion>15.0000</AppVersion>
  <Pages>1</Pages>
  <Words>255</Words>
  <Characters>1574</Characters>
  <CharactersWithSpaces>1817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2024-04-18T07:16:00Z</dcterms:created>
  <dc:creator>User</dc:creator>
  <dc:description/>
  <dc:language>ca-ES</dc:language>
  <cp:lastModifiedBy/>
  <dcterms:modified xsi:type="dcterms:W3CDTF">2024-04-22T20:54:56Z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