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1028700" cy="900113"/>
            <wp:effectExtent b="0" l="0" r="0" t="0"/>
            <wp:docPr descr="GSA Star Mark logo - blue background with the letters &quot;GSA&quot; in white text" id="15" name="image1.png"/>
            <a:graphic>
              <a:graphicData uri="http://schemas.openxmlformats.org/drawingml/2006/picture">
                <pic:pic>
                  <pic:nvPicPr>
                    <pic:cNvPr descr="GSA Star Mark logo - blue background with the letters &quot;GSA&quot; in white text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00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line="240" w:lineRule="auto"/>
        <w:jc w:val="center"/>
        <w:rPr>
          <w:rFonts w:ascii="Calibri" w:cs="Calibri" w:eastAsia="Calibri" w:hAnsi="Calibri"/>
          <w:color w:val="0579bd"/>
          <w:sz w:val="20"/>
          <w:szCs w:val="20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sz w:val="60"/>
          <w:szCs w:val="60"/>
          <w:rtl w:val="0"/>
        </w:rPr>
        <w:t xml:space="preserve">Digital Autopen for Federal Register Documents Playbook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pacing w:line="240" w:lineRule="auto"/>
        <w:jc w:val="center"/>
        <w:rPr/>
      </w:pPr>
      <w:bookmarkStart w:colFirst="0" w:colLast="0" w:name="_heading=h.reqj23yy4wxo" w:id="2"/>
      <w:bookmarkEnd w:id="2"/>
      <w:r w:rsidDel="00000000" w:rsidR="00000000" w:rsidRPr="00000000">
        <w:rPr>
          <w:rFonts w:ascii="Calibri" w:cs="Calibri" w:eastAsia="Calibri" w:hAnsi="Calibri"/>
          <w:sz w:val="60"/>
          <w:szCs w:val="60"/>
          <w:rtl w:val="0"/>
        </w:rPr>
        <w:t xml:space="preserve">Standard Operating Procedure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b w:val="1"/>
          <w:color w:val="366091"/>
          <w:sz w:val="32"/>
          <w:szCs w:val="32"/>
        </w:rPr>
      </w:pPr>
      <w:r w:rsidDel="00000000" w:rsidR="00000000" w:rsidRPr="00000000">
        <w:rPr>
          <w:b w:val="1"/>
          <w:color w:val="366091"/>
          <w:sz w:val="32"/>
          <w:szCs w:val="32"/>
          <w:rtl w:val="0"/>
        </w:rPr>
        <w:t xml:space="preserve">March </w:t>
      </w:r>
      <w:r w:rsidDel="00000000" w:rsidR="00000000" w:rsidRPr="00000000">
        <w:rPr>
          <w:b w:val="1"/>
          <w:color w:val="3b5789"/>
          <w:sz w:val="32"/>
          <w:szCs w:val="32"/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FINAL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color w:val="3b5789"/>
          <w:sz w:val="24"/>
          <w:szCs w:val="24"/>
        </w:rPr>
      </w:pPr>
      <w:r w:rsidDel="00000000" w:rsidR="00000000" w:rsidRPr="00000000">
        <w:rPr>
          <w:b w:val="1"/>
          <w:color w:val="3b5789"/>
          <w:sz w:val="24"/>
          <w:szCs w:val="24"/>
          <w:rtl w:val="0"/>
        </w:rPr>
        <w:t xml:space="preserve">Federal Chief Information Security Officer Council</w:t>
      </w:r>
    </w:p>
    <w:p w:rsidR="00000000" w:rsidDel="00000000" w:rsidP="00000000" w:rsidRDefault="00000000" w:rsidRPr="00000000" w14:paraId="00000011">
      <w:pPr>
        <w:jc w:val="center"/>
        <w:rPr>
          <w:b w:val="1"/>
          <w:color w:val="3b5789"/>
          <w:sz w:val="24"/>
          <w:szCs w:val="24"/>
        </w:rPr>
      </w:pPr>
      <w:r w:rsidDel="00000000" w:rsidR="00000000" w:rsidRPr="00000000">
        <w:rPr>
          <w:b w:val="1"/>
          <w:color w:val="3b5789"/>
          <w:sz w:val="24"/>
          <w:szCs w:val="24"/>
          <w:rtl w:val="0"/>
        </w:rPr>
        <w:t xml:space="preserve">Identity, Credential, and Access Management Subcommittee</w:t>
      </w:r>
    </w:p>
    <w:p w:rsidR="00000000" w:rsidDel="00000000" w:rsidP="00000000" w:rsidRDefault="00000000" w:rsidRPr="00000000" w14:paraId="00000012">
      <w:pPr>
        <w:jc w:val="center"/>
        <w:rPr>
          <w:rFonts w:ascii="Public Sans" w:cs="Public Sans" w:eastAsia="Public Sans" w:hAnsi="Public Sans"/>
        </w:rPr>
      </w:pPr>
      <w:r w:rsidDel="00000000" w:rsidR="00000000" w:rsidRPr="00000000">
        <w:rPr>
          <w:b w:val="1"/>
          <w:color w:val="3b5789"/>
          <w:sz w:val="24"/>
          <w:szCs w:val="24"/>
          <w:rtl w:val="0"/>
        </w:rPr>
        <w:t xml:space="preserve">Delegated Digital Signature Working Group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1"/>
        <w:spacing w:after="0" w:lineRule="auto"/>
        <w:rPr>
          <w:rFonts w:ascii="Arial" w:cs="Arial" w:eastAsia="Arial" w:hAnsi="Arial"/>
          <w:b w:val="1"/>
          <w:color w:val="0579bd"/>
          <w:sz w:val="36"/>
          <w:szCs w:val="36"/>
        </w:rPr>
      </w:pPr>
      <w:bookmarkStart w:colFirst="0" w:colLast="0" w:name="_heading=h.1pxezwc" w:id="3"/>
      <w:bookmarkEnd w:id="3"/>
      <w:r w:rsidDel="00000000" w:rsidR="00000000" w:rsidRPr="00000000">
        <w:rPr>
          <w:rFonts w:ascii="Arial" w:cs="Arial" w:eastAsia="Arial" w:hAnsi="Arial"/>
          <w:b w:val="1"/>
          <w:color w:val="0579bd"/>
          <w:sz w:val="36"/>
          <w:szCs w:val="36"/>
          <w:rtl w:val="0"/>
        </w:rPr>
        <w:t xml:space="preserve">Federal Register Signing</w:t>
      </w:r>
    </w:p>
    <w:p w:rsidR="00000000" w:rsidDel="00000000" w:rsidP="00000000" w:rsidRDefault="00000000" w:rsidRPr="00000000" w14:paraId="00000014">
      <w:pPr>
        <w:keepNext w:val="1"/>
        <w:keepLines w:val="1"/>
        <w:spacing w:line="273" w:lineRule="auto"/>
        <w:rPr>
          <w:rFonts w:ascii="Arial" w:cs="Arial" w:eastAsia="Arial" w:hAnsi="Arial"/>
          <w:b w:val="1"/>
          <w:color w:val="0095da"/>
          <w:sz w:val="28"/>
          <w:szCs w:val="28"/>
        </w:rPr>
      </w:pPr>
      <w:bookmarkStart w:colFirst="0" w:colLast="0" w:name="_heading=h.49x2ik5" w:id="4"/>
      <w:bookmarkEnd w:id="4"/>
      <w:r w:rsidDel="00000000" w:rsidR="00000000" w:rsidRPr="00000000">
        <w:rPr>
          <w:rFonts w:ascii="Arial" w:cs="Arial" w:eastAsia="Arial" w:hAnsi="Arial"/>
          <w:b w:val="1"/>
          <w:color w:val="0095da"/>
          <w:sz w:val="28"/>
          <w:szCs w:val="28"/>
          <w:rtl w:val="0"/>
        </w:rPr>
        <w:t xml:space="preserve">I. Authority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line="264" w:lineRule="auto"/>
        <w:ind w:left="720" w:hanging="360"/>
        <w:rPr/>
      </w:pPr>
      <w:r w:rsidDel="00000000" w:rsidR="00000000" w:rsidRPr="00000000">
        <w:rPr>
          <w:highlight w:val="yellow"/>
          <w:rtl w:val="0"/>
        </w:rPr>
        <w:t xml:space="preserve">[Name of delegation policy with the date and subsection]</w:t>
      </w:r>
      <w:r w:rsidDel="00000000" w:rsidR="00000000" w:rsidRPr="00000000">
        <w:rPr>
          <w:rtl w:val="0"/>
        </w:rPr>
        <w:t xml:space="preserve"> delegates authority to the </w:t>
      </w:r>
      <w:r w:rsidDel="00000000" w:rsidR="00000000" w:rsidRPr="00000000">
        <w:rPr>
          <w:highlight w:val="yellow"/>
          <w:rtl w:val="0"/>
        </w:rPr>
        <w:t xml:space="preserve">[office with delegated authority] </w:t>
      </w:r>
      <w:r w:rsidDel="00000000" w:rsidR="00000000" w:rsidRPr="00000000">
        <w:rPr>
          <w:rtl w:val="0"/>
        </w:rPr>
        <w:t xml:space="preserve">to sign Federal Register documents. The </w:t>
      </w:r>
      <w:r w:rsidDel="00000000" w:rsidR="00000000" w:rsidRPr="00000000">
        <w:rPr>
          <w:highlight w:val="yellow"/>
          <w:rtl w:val="0"/>
        </w:rPr>
        <w:t xml:space="preserve">[office with delegated authority]</w:t>
      </w:r>
      <w:r w:rsidDel="00000000" w:rsidR="00000000" w:rsidRPr="00000000">
        <w:rPr>
          <w:rtl w:val="0"/>
        </w:rPr>
        <w:t xml:space="preserve"> may delegate this authority, in writing, only to the </w:t>
      </w:r>
      <w:r w:rsidDel="00000000" w:rsidR="00000000" w:rsidRPr="00000000">
        <w:rPr>
          <w:highlight w:val="yellow"/>
          <w:rtl w:val="0"/>
        </w:rPr>
        <w:t xml:space="preserve">[positions]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line="264" w:lineRule="auto"/>
        <w:ind w:left="720" w:hanging="360"/>
        <w:rPr/>
      </w:pPr>
      <w:r w:rsidDel="00000000" w:rsidR="00000000" w:rsidRPr="00000000">
        <w:rPr>
          <w:rtl w:val="0"/>
        </w:rPr>
        <w:t xml:space="preserve">Once delegated, only the </w:t>
      </w:r>
      <w:r w:rsidDel="00000000" w:rsidR="00000000" w:rsidRPr="00000000">
        <w:rPr>
          <w:highlight w:val="yellow"/>
          <w:rtl w:val="0"/>
        </w:rPr>
        <w:t xml:space="preserve">[positions]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highlight w:val="yellow"/>
          <w:rtl w:val="0"/>
        </w:rPr>
        <w:t xml:space="preserve">[office with delegated authority]</w:t>
      </w:r>
      <w:r w:rsidDel="00000000" w:rsidR="00000000" w:rsidRPr="00000000">
        <w:rPr>
          <w:rtl w:val="0"/>
        </w:rPr>
        <w:t xml:space="preserve"> are authorized to use the delegated signature authority. Because the delegation and sub-delegation are to the respective positions, the delegations do not need to be reissued when a new </w:t>
      </w:r>
      <w:r w:rsidDel="00000000" w:rsidR="00000000" w:rsidRPr="00000000">
        <w:rPr>
          <w:highlight w:val="yellow"/>
          <w:rtl w:val="0"/>
        </w:rPr>
        <w:t xml:space="preserve">[authorizing sponsor]</w:t>
      </w:r>
      <w:r w:rsidDel="00000000" w:rsidR="00000000" w:rsidRPr="00000000">
        <w:rPr>
          <w:rtl w:val="0"/>
        </w:rPr>
        <w:t xml:space="preserve"> starts, or should new officials be appointed to serve in the abovementioned positions.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line="264" w:lineRule="auto"/>
        <w:ind w:left="720" w:hanging="360"/>
        <w:rPr/>
      </w:pPr>
      <w:r w:rsidDel="00000000" w:rsidR="00000000" w:rsidRPr="00000000">
        <w:rPr>
          <w:rtl w:val="0"/>
        </w:rPr>
        <w:t xml:space="preserve">The delegation identifies the total number of approved delegates, not to exceed two (a primary and alternate).</w:t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spacing w:line="273" w:lineRule="auto"/>
        <w:rPr>
          <w:rFonts w:ascii="Arial" w:cs="Arial" w:eastAsia="Arial" w:hAnsi="Arial"/>
          <w:b w:val="1"/>
          <w:color w:val="0095da"/>
          <w:sz w:val="28"/>
          <w:szCs w:val="28"/>
        </w:rPr>
      </w:pPr>
      <w:bookmarkStart w:colFirst="0" w:colLast="0" w:name="_heading=h.2p2csry" w:id="5"/>
      <w:bookmarkEnd w:id="5"/>
      <w:r w:rsidDel="00000000" w:rsidR="00000000" w:rsidRPr="00000000">
        <w:rPr>
          <w:rFonts w:ascii="Arial" w:cs="Arial" w:eastAsia="Arial" w:hAnsi="Arial"/>
          <w:b w:val="1"/>
          <w:color w:val="0095da"/>
          <w:sz w:val="28"/>
          <w:szCs w:val="28"/>
          <w:rtl w:val="0"/>
        </w:rPr>
        <w:t xml:space="preserve">II. Process</w:t>
      </w:r>
    </w:p>
    <w:p w:rsidR="00000000" w:rsidDel="00000000" w:rsidP="00000000" w:rsidRDefault="00000000" w:rsidRPr="00000000" w14:paraId="0000001A">
      <w:pPr>
        <w:spacing w:after="0" w:line="264" w:lineRule="auto"/>
        <w:rPr/>
      </w:pPr>
      <w:r w:rsidDel="00000000" w:rsidR="00000000" w:rsidRPr="00000000">
        <w:rPr>
          <w:rtl w:val="0"/>
        </w:rPr>
        <w:t xml:space="preserve">The digital autopen is used to affix the </w:t>
      </w:r>
      <w:r w:rsidDel="00000000" w:rsidR="00000000" w:rsidRPr="00000000">
        <w:rPr>
          <w:highlight w:val="yellow"/>
          <w:rtl w:val="0"/>
        </w:rPr>
        <w:t xml:space="preserve">[authorizing sponsor]</w:t>
      </w:r>
      <w:r w:rsidDel="00000000" w:rsidR="00000000" w:rsidRPr="00000000">
        <w:rPr>
          <w:rtl w:val="0"/>
        </w:rPr>
        <w:t xml:space="preserve"> signature on a document. Before using the digital autopen to affix the </w:t>
      </w:r>
      <w:r w:rsidDel="00000000" w:rsidR="00000000" w:rsidRPr="00000000">
        <w:rPr>
          <w:highlight w:val="yellow"/>
          <w:rtl w:val="0"/>
        </w:rPr>
        <w:t xml:space="preserve">[authorizing sponsor]</w:t>
      </w:r>
      <w:r w:rsidDel="00000000" w:rsidR="00000000" w:rsidRPr="00000000">
        <w:rPr>
          <w:rtl w:val="0"/>
        </w:rPr>
        <w:t xml:space="preserve"> signature, the user must ensure the following: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="264" w:lineRule="auto"/>
        <w:ind w:left="720" w:hanging="36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highlight w:val="yellow"/>
          <w:rtl w:val="0"/>
        </w:rPr>
        <w:t xml:space="preserve">[authorizing sponsor]</w:t>
      </w:r>
      <w:r w:rsidDel="00000000" w:rsidR="00000000" w:rsidRPr="00000000">
        <w:rPr>
          <w:rtl w:val="0"/>
        </w:rPr>
        <w:t xml:space="preserve"> approved the underlying document using a decision document. The </w:t>
      </w:r>
      <w:r w:rsidDel="00000000" w:rsidR="00000000" w:rsidRPr="00000000">
        <w:rPr>
          <w:highlight w:val="yellow"/>
          <w:rtl w:val="0"/>
        </w:rPr>
        <w:t xml:space="preserve">[authorizing sponsor]</w:t>
      </w:r>
      <w:r w:rsidDel="00000000" w:rsidR="00000000" w:rsidRPr="00000000">
        <w:rPr>
          <w:rtl w:val="0"/>
        </w:rPr>
        <w:t xml:space="preserve"> may verbally approve a document in exigent circumstances. In that event, the </w:t>
      </w:r>
      <w:r w:rsidDel="00000000" w:rsidR="00000000" w:rsidRPr="00000000">
        <w:rPr>
          <w:highlight w:val="yellow"/>
          <w:rtl w:val="0"/>
        </w:rPr>
        <w:t xml:space="preserve">[office of delegated authority]</w:t>
      </w:r>
      <w:r w:rsidDel="00000000" w:rsidR="00000000" w:rsidRPr="00000000">
        <w:rPr>
          <w:rtl w:val="0"/>
        </w:rPr>
        <w:t xml:space="preserve"> must note this verbal approval on the decision document. The decision document will note if </w:t>
      </w:r>
      <w:r w:rsidDel="00000000" w:rsidR="00000000" w:rsidRPr="00000000">
        <w:rPr>
          <w:highlight w:val="yellow"/>
          <w:rtl w:val="0"/>
        </w:rPr>
        <w:t xml:space="preserve">[the authorizing sponsor]</w:t>
      </w:r>
      <w:r w:rsidDel="00000000" w:rsidR="00000000" w:rsidRPr="00000000">
        <w:rPr>
          <w:rtl w:val="0"/>
        </w:rPr>
        <w:t xml:space="preserve"> directs a digital autopen approval. A template for the decision document is attached.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="264" w:lineRule="auto"/>
        <w:ind w:left="720" w:hanging="360"/>
        <w:rPr/>
      </w:pPr>
      <w:r w:rsidDel="00000000" w:rsidR="00000000" w:rsidRPr="00000000">
        <w:rPr>
          <w:rtl w:val="0"/>
        </w:rPr>
        <w:t xml:space="preserve">The [</w:t>
      </w:r>
      <w:r w:rsidDel="00000000" w:rsidR="00000000" w:rsidRPr="00000000">
        <w:rPr>
          <w:highlight w:val="yellow"/>
          <w:rtl w:val="0"/>
        </w:rPr>
        <w:t xml:space="preserve">digital autopen recipient</w:t>
      </w:r>
      <w:r w:rsidDel="00000000" w:rsidR="00000000" w:rsidRPr="00000000">
        <w:rPr>
          <w:rtl w:val="0"/>
        </w:rPr>
        <w:t xml:space="preserve">] digitally signing the document must verify the </w:t>
      </w:r>
      <w:r w:rsidDel="00000000" w:rsidR="00000000" w:rsidRPr="00000000">
        <w:rPr>
          <w:highlight w:val="yellow"/>
          <w:rtl w:val="0"/>
        </w:rPr>
        <w:t xml:space="preserve">[authorizing sponsor]</w:t>
      </w:r>
      <w:r w:rsidDel="00000000" w:rsidR="00000000" w:rsidRPr="00000000">
        <w:rPr>
          <w:rtl w:val="0"/>
        </w:rPr>
        <w:t xml:space="preserve"> prior approval of the underlying document and the approval for the [</w:t>
      </w:r>
      <w:r w:rsidDel="00000000" w:rsidR="00000000" w:rsidRPr="00000000">
        <w:rPr>
          <w:highlight w:val="yellow"/>
          <w:rtl w:val="0"/>
        </w:rPr>
        <w:t xml:space="preserve">digital autopen recipient</w:t>
      </w:r>
      <w:r w:rsidDel="00000000" w:rsidR="00000000" w:rsidRPr="00000000">
        <w:rPr>
          <w:rtl w:val="0"/>
        </w:rPr>
        <w:t xml:space="preserve">] to affix the [</w:t>
      </w:r>
      <w:r w:rsidDel="00000000" w:rsidR="00000000" w:rsidRPr="00000000">
        <w:rPr>
          <w:highlight w:val="yellow"/>
          <w:rtl w:val="0"/>
        </w:rPr>
        <w:t xml:space="preserve">authorizing sponsor</w:t>
      </w:r>
      <w:r w:rsidDel="00000000" w:rsidR="00000000" w:rsidRPr="00000000">
        <w:rPr>
          <w:rtl w:val="0"/>
        </w:rPr>
        <w:t xml:space="preserve">] signature. 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="264" w:lineRule="auto"/>
        <w:ind w:left="720" w:hanging="360"/>
        <w:rPr/>
      </w:pPr>
      <w:r w:rsidDel="00000000" w:rsidR="00000000" w:rsidRPr="00000000">
        <w:rPr>
          <w:rtl w:val="0"/>
        </w:rPr>
        <w:t xml:space="preserve">The digital autopen cannot be used to affix the signature before the </w:t>
      </w:r>
      <w:r w:rsidDel="00000000" w:rsidR="00000000" w:rsidRPr="00000000">
        <w:rPr>
          <w:highlight w:val="yellow"/>
          <w:rtl w:val="0"/>
        </w:rPr>
        <w:t xml:space="preserve">[authorizing sponsor]</w:t>
      </w:r>
      <w:r w:rsidDel="00000000" w:rsidR="00000000" w:rsidRPr="00000000">
        <w:rPr>
          <w:rtl w:val="0"/>
        </w:rPr>
        <w:t xml:space="preserve"> has approved the underlying document (for example, no “sign and hold”). See the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FICAM Playbook Digitally Sign an Office of the Federal Register Document</w:t>
        </w:r>
      </w:hyperlink>
      <w:r w:rsidDel="00000000" w:rsidR="00000000" w:rsidRPr="00000000">
        <w:rPr>
          <w:rtl w:val="0"/>
        </w:rPr>
        <w:t xml:space="preserve"> for the latest instructions on digitally signing a Microsoft Word document.</w:t>
      </w:r>
    </w:p>
    <w:p w:rsidR="00000000" w:rsidDel="00000000" w:rsidP="00000000" w:rsidRDefault="00000000" w:rsidRPr="00000000" w14:paraId="0000001E">
      <w:pPr>
        <w:spacing w:after="0"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spacing w:line="273" w:lineRule="auto"/>
        <w:rPr>
          <w:rFonts w:ascii="Arial" w:cs="Arial" w:eastAsia="Arial" w:hAnsi="Arial"/>
          <w:b w:val="1"/>
          <w:color w:val="0095da"/>
          <w:sz w:val="28"/>
          <w:szCs w:val="28"/>
        </w:rPr>
      </w:pPr>
      <w:bookmarkStart w:colFirst="0" w:colLast="0" w:name="_heading=h.147n2zr" w:id="6"/>
      <w:bookmarkEnd w:id="6"/>
      <w:r w:rsidDel="00000000" w:rsidR="00000000" w:rsidRPr="00000000">
        <w:rPr>
          <w:rFonts w:ascii="Arial" w:cs="Arial" w:eastAsia="Arial" w:hAnsi="Arial"/>
          <w:b w:val="1"/>
          <w:color w:val="0095da"/>
          <w:sz w:val="28"/>
          <w:szCs w:val="28"/>
          <w:rtl w:val="0"/>
        </w:rPr>
        <w:t xml:space="preserve">III. Security and Logs</w:t>
      </w:r>
    </w:p>
    <w:p w:rsidR="00000000" w:rsidDel="00000000" w:rsidP="00000000" w:rsidRDefault="00000000" w:rsidRPr="00000000" w14:paraId="00000020">
      <w:pPr>
        <w:spacing w:after="0" w:line="264" w:lineRule="auto"/>
        <w:rPr/>
      </w:pPr>
      <w:r w:rsidDel="00000000" w:rsidR="00000000" w:rsidRPr="00000000">
        <w:rPr>
          <w:highlight w:val="yellow"/>
          <w:rtl w:val="0"/>
        </w:rPr>
        <w:t xml:space="preserve">[office with delegated authority]</w:t>
      </w:r>
      <w:r w:rsidDel="00000000" w:rsidR="00000000" w:rsidRPr="00000000">
        <w:rPr>
          <w:rtl w:val="0"/>
        </w:rPr>
        <w:t xml:space="preserve"> will maintain a physical or digital log of digital autopen use. The digital autopen recipient will capture the following information in the log:  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line="264" w:lineRule="auto"/>
        <w:ind w:left="720" w:hanging="360"/>
        <w:rPr/>
      </w:pPr>
      <w:r w:rsidDel="00000000" w:rsidR="00000000" w:rsidRPr="00000000">
        <w:rPr>
          <w:rtl w:val="0"/>
        </w:rPr>
        <w:t xml:space="preserve">Document Number of the Underlying Decision Document.  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line="264" w:lineRule="auto"/>
        <w:ind w:left="720" w:hanging="360"/>
        <w:rPr/>
      </w:pPr>
      <w:r w:rsidDel="00000000" w:rsidR="00000000" w:rsidRPr="00000000">
        <w:rPr>
          <w:rtl w:val="0"/>
        </w:rPr>
        <w:t xml:space="preserve">Date and time of the digital autopen use.  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line="264" w:lineRule="auto"/>
        <w:ind w:left="720" w:hanging="360"/>
        <w:rPr/>
      </w:pPr>
      <w:r w:rsidDel="00000000" w:rsidR="00000000" w:rsidRPr="00000000">
        <w:rPr>
          <w:rtl w:val="0"/>
        </w:rPr>
        <w:t xml:space="preserve">Name of the digital autopen recipient affixing the [</w:t>
      </w:r>
      <w:r w:rsidDel="00000000" w:rsidR="00000000" w:rsidRPr="00000000">
        <w:rPr>
          <w:highlight w:val="yellow"/>
          <w:rtl w:val="0"/>
        </w:rPr>
        <w:t xml:space="preserve">authorized sponsor</w:t>
      </w:r>
      <w:r w:rsidDel="00000000" w:rsidR="00000000" w:rsidRPr="00000000">
        <w:rPr>
          <w:rtl w:val="0"/>
        </w:rPr>
        <w:t xml:space="preserve">]’s signature.  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line="264" w:lineRule="auto"/>
        <w:ind w:left="720" w:hanging="360"/>
        <w:rPr/>
      </w:pPr>
      <w:r w:rsidDel="00000000" w:rsidR="00000000" w:rsidRPr="00000000">
        <w:rPr>
          <w:rtl w:val="0"/>
        </w:rPr>
        <w:t xml:space="preserve">Check box to verify that the </w:t>
      </w:r>
      <w:r w:rsidDel="00000000" w:rsidR="00000000" w:rsidRPr="00000000">
        <w:rPr>
          <w:highlight w:val="yellow"/>
          <w:rtl w:val="0"/>
        </w:rPr>
        <w:t xml:space="preserve">[authorizing sponsor]</w:t>
      </w:r>
      <w:r w:rsidDel="00000000" w:rsidR="00000000" w:rsidRPr="00000000">
        <w:rPr>
          <w:rtl w:val="0"/>
        </w:rPr>
        <w:t xml:space="preserve"> approved the underlying decision document.  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line="264" w:lineRule="auto"/>
        <w:ind w:left="720" w:hanging="360"/>
        <w:rPr/>
      </w:pPr>
      <w:r w:rsidDel="00000000" w:rsidR="00000000" w:rsidRPr="00000000">
        <w:rPr>
          <w:rtl w:val="0"/>
        </w:rPr>
        <w:t xml:space="preserve">Check box to verify that the </w:t>
      </w:r>
      <w:r w:rsidDel="00000000" w:rsidR="00000000" w:rsidRPr="00000000">
        <w:rPr>
          <w:highlight w:val="yellow"/>
          <w:rtl w:val="0"/>
        </w:rPr>
        <w:t xml:space="preserve">[authorizing sponsor]</w:t>
      </w:r>
      <w:r w:rsidDel="00000000" w:rsidR="00000000" w:rsidRPr="00000000">
        <w:rPr>
          <w:rtl w:val="0"/>
        </w:rPr>
        <w:t xml:space="preserve"> directed the use of the digital autopen and by what method (direct or verbally transmitted) and noted on the decision document.</w:t>
      </w:r>
    </w:p>
    <w:p w:rsidR="00000000" w:rsidDel="00000000" w:rsidP="00000000" w:rsidRDefault="00000000" w:rsidRPr="00000000" w14:paraId="00000026">
      <w:pPr>
        <w:spacing w:after="0"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1"/>
        <w:spacing w:after="0" w:lineRule="auto"/>
        <w:rPr>
          <w:rFonts w:ascii="Arial" w:cs="Arial" w:eastAsia="Arial" w:hAnsi="Arial"/>
          <w:b w:val="1"/>
          <w:color w:val="0579bd"/>
          <w:sz w:val="36"/>
          <w:szCs w:val="36"/>
        </w:rPr>
      </w:pPr>
      <w:bookmarkStart w:colFirst="0" w:colLast="0" w:name="_heading=h.3o7alnk" w:id="7"/>
      <w:bookmarkEnd w:id="7"/>
      <w:r w:rsidDel="00000000" w:rsidR="00000000" w:rsidRPr="00000000">
        <w:rPr>
          <w:rFonts w:ascii="Arial" w:cs="Arial" w:eastAsia="Arial" w:hAnsi="Arial"/>
          <w:b w:val="1"/>
          <w:color w:val="0579bd"/>
          <w:sz w:val="36"/>
          <w:szCs w:val="36"/>
          <w:rtl w:val="0"/>
        </w:rPr>
        <w:t xml:space="preserve">Digital Autopen Certificate</w:t>
      </w:r>
    </w:p>
    <w:p w:rsidR="00000000" w:rsidDel="00000000" w:rsidP="00000000" w:rsidRDefault="00000000" w:rsidRPr="00000000" w14:paraId="00000028">
      <w:pPr>
        <w:keepNext w:val="1"/>
        <w:keepLines w:val="1"/>
        <w:spacing w:line="273" w:lineRule="auto"/>
        <w:rPr>
          <w:rFonts w:ascii="Arial" w:cs="Arial" w:eastAsia="Arial" w:hAnsi="Arial"/>
          <w:b w:val="1"/>
          <w:color w:val="0095da"/>
          <w:sz w:val="28"/>
          <w:szCs w:val="28"/>
        </w:rPr>
      </w:pPr>
      <w:bookmarkStart w:colFirst="0" w:colLast="0" w:name="_heading=h.23ckvvd" w:id="8"/>
      <w:bookmarkEnd w:id="8"/>
      <w:r w:rsidDel="00000000" w:rsidR="00000000" w:rsidRPr="00000000">
        <w:rPr>
          <w:rFonts w:ascii="Arial" w:cs="Arial" w:eastAsia="Arial" w:hAnsi="Arial"/>
          <w:b w:val="1"/>
          <w:color w:val="0095da"/>
          <w:sz w:val="28"/>
          <w:szCs w:val="28"/>
          <w:rtl w:val="0"/>
        </w:rPr>
        <w:t xml:space="preserve">I. Authorities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="264" w:lineRule="auto"/>
        <w:ind w:left="720" w:hanging="360"/>
        <w:rPr/>
      </w:pPr>
      <w:r w:rsidDel="00000000" w:rsidR="00000000" w:rsidRPr="00000000">
        <w:rPr>
          <w:rtl w:val="0"/>
        </w:rPr>
        <w:t xml:space="preserve">Homeland Security Presidential Directive 12 (HSPD-12), Policy for a Common Identification Standard for Federal Employees and Contractors 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="264" w:lineRule="auto"/>
        <w:ind w:left="720" w:hanging="360"/>
        <w:rPr/>
      </w:pPr>
      <w:r w:rsidDel="00000000" w:rsidR="00000000" w:rsidRPr="00000000">
        <w:rPr>
          <w:rtl w:val="0"/>
        </w:rPr>
        <w:t xml:space="preserve">Federal Information Processing Standards (FIPS) Publication 201, Personal Identity Verification (PIV) of Federal Employees and Contractors; 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="264" w:lineRule="auto"/>
        <w:ind w:left="720" w:hanging="360"/>
        <w:rPr/>
      </w:pPr>
      <w:r w:rsidDel="00000000" w:rsidR="00000000" w:rsidRPr="00000000">
        <w:rPr>
          <w:rtl w:val="0"/>
        </w:rPr>
        <w:t xml:space="preserve">X.509 Certificate Policy for the U.S. Federal Public Key Infrastructure (PKI) Common Policy Framework 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="264" w:lineRule="auto"/>
        <w:ind w:left="720" w:hanging="360"/>
        <w:rPr/>
      </w:pPr>
      <w:r w:rsidDel="00000000" w:rsidR="00000000" w:rsidRPr="00000000">
        <w:rPr>
          <w:rtl w:val="0"/>
        </w:rPr>
        <w:t xml:space="preserve">National Institute of Standards and Technology (NIST) Special Publication (SP) 800-157, Guidelines for Derived PIV Credentials.</w:t>
      </w:r>
    </w:p>
    <w:p w:rsidR="00000000" w:rsidDel="00000000" w:rsidP="00000000" w:rsidRDefault="00000000" w:rsidRPr="00000000" w14:paraId="0000002D">
      <w:pPr>
        <w:spacing w:after="0"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1"/>
        <w:spacing w:line="273" w:lineRule="auto"/>
        <w:rPr>
          <w:rFonts w:ascii="Arial" w:cs="Arial" w:eastAsia="Arial" w:hAnsi="Arial"/>
          <w:b w:val="1"/>
          <w:color w:val="0095da"/>
          <w:sz w:val="28"/>
          <w:szCs w:val="28"/>
        </w:rPr>
      </w:pPr>
      <w:bookmarkStart w:colFirst="0" w:colLast="0" w:name="_heading=h.ihv636" w:id="9"/>
      <w:bookmarkEnd w:id="9"/>
      <w:r w:rsidDel="00000000" w:rsidR="00000000" w:rsidRPr="00000000">
        <w:rPr>
          <w:rFonts w:ascii="Arial" w:cs="Arial" w:eastAsia="Arial" w:hAnsi="Arial"/>
          <w:b w:val="1"/>
          <w:color w:val="0095da"/>
          <w:sz w:val="28"/>
          <w:szCs w:val="28"/>
          <w:rtl w:val="0"/>
        </w:rPr>
        <w:t xml:space="preserve">II. Process</w:t>
      </w:r>
    </w:p>
    <w:p w:rsidR="00000000" w:rsidDel="00000000" w:rsidP="00000000" w:rsidRDefault="00000000" w:rsidRPr="00000000" w14:paraId="0000002F">
      <w:pPr>
        <w:spacing w:after="0" w:line="264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highlight w:val="yellow"/>
          <w:rtl w:val="0"/>
        </w:rPr>
        <w:t xml:space="preserve">[agency]</w:t>
      </w:r>
      <w:r w:rsidDel="00000000" w:rsidR="00000000" w:rsidRPr="00000000">
        <w:rPr>
          <w:rtl w:val="0"/>
        </w:rPr>
        <w:t xml:space="preserve"> digital autopen certificate is only used to affix the </w:t>
      </w:r>
      <w:r w:rsidDel="00000000" w:rsidR="00000000" w:rsidRPr="00000000">
        <w:rPr>
          <w:highlight w:val="yellow"/>
          <w:rtl w:val="0"/>
        </w:rPr>
        <w:t xml:space="preserve">[authorizing sponsor]</w:t>
      </w:r>
      <w:r w:rsidDel="00000000" w:rsidR="00000000" w:rsidRPr="00000000">
        <w:rPr>
          <w:rtl w:val="0"/>
        </w:rPr>
        <w:t xml:space="preserve"> signature on a </w:t>
      </w:r>
      <w:r w:rsidDel="00000000" w:rsidR="00000000" w:rsidRPr="00000000">
        <w:rPr>
          <w:i w:val="1"/>
          <w:rtl w:val="0"/>
        </w:rPr>
        <w:t xml:space="preserve">Federal Register</w:t>
      </w:r>
      <w:r w:rsidDel="00000000" w:rsidR="00000000" w:rsidRPr="00000000">
        <w:rPr>
          <w:rtl w:val="0"/>
        </w:rPr>
        <w:t xml:space="preserve"> document. The </w:t>
      </w:r>
      <w:r w:rsidDel="00000000" w:rsidR="00000000" w:rsidRPr="00000000">
        <w:rPr>
          <w:highlight w:val="yellow"/>
          <w:rtl w:val="0"/>
        </w:rPr>
        <w:t xml:space="preserve">[office with delegated authority]</w:t>
      </w:r>
      <w:r w:rsidDel="00000000" w:rsidR="00000000" w:rsidRPr="00000000">
        <w:rPr>
          <w:rtl w:val="0"/>
        </w:rPr>
        <w:t xml:space="preserve"> must ensure the following before requesting a digital autopen.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line="264" w:lineRule="auto"/>
        <w:ind w:left="720" w:hanging="360"/>
        <w:rPr/>
      </w:pPr>
      <w:r w:rsidDel="00000000" w:rsidR="00000000" w:rsidRPr="00000000">
        <w:rPr>
          <w:rtl w:val="0"/>
        </w:rPr>
        <w:t xml:space="preserve">The user signs the User Agreement with their PIV card. See attached sample User Agreement. The user must comply with all requirements of the User Agreement.  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line="264" w:lineRule="auto"/>
        <w:ind w:left="720" w:hanging="36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highlight w:val="yellow"/>
          <w:rtl w:val="0"/>
        </w:rPr>
        <w:t xml:space="preserve">[office with delegated authority]</w:t>
      </w:r>
      <w:r w:rsidDel="00000000" w:rsidR="00000000" w:rsidRPr="00000000">
        <w:rPr>
          <w:rtl w:val="0"/>
        </w:rPr>
        <w:t xml:space="preserve"> attaches the delegation authority and signed User Agreement to an issuance request form to the [security office].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line="264" w:lineRule="auto"/>
        <w:ind w:left="720" w:hanging="36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highlight w:val="yellow"/>
          <w:rtl w:val="0"/>
        </w:rPr>
        <w:t xml:space="preserve">[security office]</w:t>
      </w:r>
      <w:r w:rsidDel="00000000" w:rsidR="00000000" w:rsidRPr="00000000">
        <w:rPr>
          <w:rtl w:val="0"/>
        </w:rPr>
        <w:t xml:space="preserve"> verifies the person is a federal employee, is in a position in the </w:t>
      </w:r>
      <w:r w:rsidDel="00000000" w:rsidR="00000000" w:rsidRPr="00000000">
        <w:rPr>
          <w:highlight w:val="yellow"/>
          <w:rtl w:val="0"/>
        </w:rPr>
        <w:t xml:space="preserve">[office with delegated authority]</w:t>
      </w:r>
      <w:r w:rsidDel="00000000" w:rsidR="00000000" w:rsidRPr="00000000">
        <w:rPr>
          <w:rtl w:val="0"/>
        </w:rPr>
        <w:t xml:space="preserve"> named in the </w:t>
      </w:r>
      <w:r w:rsidDel="00000000" w:rsidR="00000000" w:rsidRPr="00000000">
        <w:rPr>
          <w:highlight w:val="yellow"/>
          <w:rtl w:val="0"/>
        </w:rPr>
        <w:t xml:space="preserve">[Name of delegation policy with date and subsection]</w:t>
      </w:r>
      <w:r w:rsidDel="00000000" w:rsidR="00000000" w:rsidRPr="00000000">
        <w:rPr>
          <w:rtl w:val="0"/>
        </w:rPr>
        <w:t xml:space="preserve">, and has signed the user agreement. 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line="264" w:lineRule="auto"/>
        <w:ind w:left="720" w:hanging="36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highlight w:val="yellow"/>
          <w:rtl w:val="0"/>
        </w:rPr>
        <w:t xml:space="preserve">[security office]</w:t>
      </w:r>
      <w:r w:rsidDel="00000000" w:rsidR="00000000" w:rsidRPr="00000000">
        <w:rPr>
          <w:rtl w:val="0"/>
        </w:rPr>
        <w:t xml:space="preserve"> verifies that this request doesn't exceed the maximum authorized delegates.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line="264" w:lineRule="auto"/>
        <w:ind w:left="720" w:hanging="360"/>
        <w:rPr/>
      </w:pPr>
      <w:r w:rsidDel="00000000" w:rsidR="00000000" w:rsidRPr="00000000">
        <w:rPr>
          <w:rtl w:val="0"/>
        </w:rPr>
        <w:t xml:space="preserve">The [</w:t>
      </w:r>
      <w:r w:rsidDel="00000000" w:rsidR="00000000" w:rsidRPr="00000000">
        <w:rPr>
          <w:highlight w:val="yellow"/>
          <w:rtl w:val="0"/>
        </w:rPr>
        <w:t xml:space="preserve">security office</w:t>
      </w:r>
      <w:r w:rsidDel="00000000" w:rsidR="00000000" w:rsidRPr="00000000">
        <w:rPr>
          <w:rtl w:val="0"/>
        </w:rPr>
        <w:t xml:space="preserve">] sends a request with attachments to the certificate issuer.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line="264" w:lineRule="auto"/>
        <w:ind w:left="720" w:hanging="36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highlight w:val="yellow"/>
          <w:rtl w:val="0"/>
        </w:rPr>
        <w:t xml:space="preserve">[security office]</w:t>
      </w:r>
      <w:r w:rsidDel="00000000" w:rsidR="00000000" w:rsidRPr="00000000">
        <w:rPr>
          <w:rtl w:val="0"/>
        </w:rPr>
        <w:t xml:space="preserve"> retains this package for auditable purposes.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line="264" w:lineRule="auto"/>
        <w:ind w:left="720" w:hanging="360"/>
        <w:rPr/>
      </w:pPr>
      <w:r w:rsidDel="00000000" w:rsidR="00000000" w:rsidRPr="00000000">
        <w:rPr>
          <w:rtl w:val="0"/>
        </w:rPr>
        <w:t xml:space="preserve">The certificate issuer verifies the information and coordinates with the user for certificate issuance.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line="264" w:lineRule="auto"/>
        <w:ind w:left="720" w:hanging="360"/>
        <w:rPr/>
      </w:pPr>
      <w:r w:rsidDel="00000000" w:rsidR="00000000" w:rsidRPr="00000000">
        <w:rPr>
          <w:rtl w:val="0"/>
        </w:rPr>
        <w:t xml:space="preserve">According to the User Agreement, the user receives and protects the digital autopen certificate.</w:t>
      </w:r>
    </w:p>
    <w:p w:rsidR="00000000" w:rsidDel="00000000" w:rsidP="00000000" w:rsidRDefault="00000000" w:rsidRPr="00000000" w14:paraId="00000038">
      <w:pPr>
        <w:spacing w:after="0"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keepLines w:val="1"/>
        <w:spacing w:line="273" w:lineRule="auto"/>
        <w:rPr>
          <w:rFonts w:ascii="Arial" w:cs="Arial" w:eastAsia="Arial" w:hAnsi="Arial"/>
          <w:b w:val="1"/>
          <w:color w:val="0095da"/>
          <w:sz w:val="28"/>
          <w:szCs w:val="28"/>
        </w:rPr>
      </w:pPr>
      <w:bookmarkStart w:colFirst="0" w:colLast="0" w:name="_heading=h.32hioqz" w:id="10"/>
      <w:bookmarkEnd w:id="10"/>
      <w:r w:rsidDel="00000000" w:rsidR="00000000" w:rsidRPr="00000000">
        <w:rPr>
          <w:rFonts w:ascii="Arial" w:cs="Arial" w:eastAsia="Arial" w:hAnsi="Arial"/>
          <w:b w:val="1"/>
          <w:color w:val="0095da"/>
          <w:sz w:val="28"/>
          <w:szCs w:val="28"/>
          <w:rtl w:val="0"/>
        </w:rPr>
        <w:t xml:space="preserve">III. Security and Logs</w:t>
      </w:r>
    </w:p>
    <w:p w:rsidR="00000000" w:rsidDel="00000000" w:rsidP="00000000" w:rsidRDefault="00000000" w:rsidRPr="00000000" w14:paraId="0000003A">
      <w:pPr>
        <w:spacing w:after="0" w:line="264" w:lineRule="auto"/>
        <w:rPr/>
      </w:pPr>
      <w:r w:rsidDel="00000000" w:rsidR="00000000" w:rsidRPr="00000000">
        <w:rPr>
          <w:rtl w:val="0"/>
        </w:rPr>
        <w:t xml:space="preserve">Secure the digital autopen certificate following the User Agreement.  The following artifacts create an auditable trail of delegation and certificate issuance.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line="264" w:lineRule="auto"/>
        <w:ind w:left="720" w:hanging="360"/>
        <w:rPr/>
      </w:pPr>
      <w:r w:rsidDel="00000000" w:rsidR="00000000" w:rsidRPr="00000000">
        <w:rPr>
          <w:highlight w:val="yellow"/>
          <w:rtl w:val="0"/>
        </w:rPr>
        <w:t xml:space="preserve">[Name of delegation policy with date and subsection]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line="264" w:lineRule="auto"/>
        <w:ind w:left="720" w:hanging="360"/>
        <w:rPr/>
      </w:pPr>
      <w:r w:rsidDel="00000000" w:rsidR="00000000" w:rsidRPr="00000000">
        <w:rPr>
          <w:rtl w:val="0"/>
        </w:rPr>
        <w:t xml:space="preserve">Signed User Agreement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line="264" w:lineRule="auto"/>
        <w:ind w:left="720" w:hanging="360"/>
        <w:rPr/>
      </w:pPr>
      <w:r w:rsidDel="00000000" w:rsidR="00000000" w:rsidRPr="00000000">
        <w:rPr>
          <w:rtl w:val="0"/>
        </w:rPr>
        <w:t xml:space="preserve">Signed Certificate Issuance Request</w:t>
      </w:r>
    </w:p>
    <w:p w:rsidR="00000000" w:rsidDel="00000000" w:rsidP="00000000" w:rsidRDefault="00000000" w:rsidRPr="00000000" w14:paraId="0000003E">
      <w:pPr>
        <w:spacing w:after="0"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keepLines w:val="1"/>
        <w:rPr>
          <w:rFonts w:ascii="Arial" w:cs="Arial" w:eastAsia="Arial" w:hAnsi="Arial"/>
          <w:b w:val="1"/>
          <w:color w:val="0579bd"/>
          <w:sz w:val="36"/>
          <w:szCs w:val="36"/>
        </w:rPr>
      </w:pPr>
      <w:bookmarkStart w:colFirst="0" w:colLast="0" w:name="_heading=h.1hmsyys" w:id="11"/>
      <w:bookmarkEnd w:id="11"/>
      <w:r w:rsidDel="00000000" w:rsidR="00000000" w:rsidRPr="00000000">
        <w:rPr>
          <w:rFonts w:ascii="Arial" w:cs="Arial" w:eastAsia="Arial" w:hAnsi="Arial"/>
          <w:b w:val="1"/>
          <w:color w:val="0579bd"/>
          <w:sz w:val="36"/>
          <w:szCs w:val="36"/>
          <w:rtl w:val="0"/>
        </w:rPr>
        <w:t xml:space="preserve">Other Information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line="264" w:lineRule="auto"/>
        <w:ind w:left="720" w:hanging="36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highlight w:val="yellow"/>
          <w:rtl w:val="0"/>
        </w:rPr>
        <w:t xml:space="preserve">[office with delegated authority]</w:t>
      </w:r>
      <w:r w:rsidDel="00000000" w:rsidR="00000000" w:rsidRPr="00000000">
        <w:rPr>
          <w:rtl w:val="0"/>
        </w:rPr>
        <w:t xml:space="preserve"> should periodically review the logs to maintain them properly.  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line="264" w:lineRule="auto"/>
        <w:ind w:left="720" w:hanging="36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highlight w:val="yellow"/>
          <w:rtl w:val="0"/>
        </w:rPr>
        <w:t xml:space="preserve">[office with delegated authority]</w:t>
      </w:r>
      <w:r w:rsidDel="00000000" w:rsidR="00000000" w:rsidRPr="00000000">
        <w:rPr>
          <w:rtl w:val="0"/>
        </w:rPr>
        <w:t xml:space="preserve"> should coordinate any changes to this Standard Operating Procedure with the Office of the General Counsel.  </w:t>
      </w:r>
    </w:p>
    <w:p w:rsidR="00000000" w:rsidDel="00000000" w:rsidP="00000000" w:rsidRDefault="00000000" w:rsidRPr="00000000" w14:paraId="00000042">
      <w:pPr>
        <w:spacing w:after="0"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64" w:lineRule="auto"/>
        <w:rPr/>
      </w:pPr>
      <w:r w:rsidDel="00000000" w:rsidR="00000000" w:rsidRPr="00000000">
        <w:rPr>
          <w:rtl w:val="0"/>
        </w:rPr>
        <w:t xml:space="preserve">Approved:</w:t>
      </w:r>
    </w:p>
    <w:p w:rsidR="00000000" w:rsidDel="00000000" w:rsidP="00000000" w:rsidRDefault="00000000" w:rsidRPr="00000000" w14:paraId="00000045">
      <w:pPr>
        <w:spacing w:after="0" w:line="264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55"/>
        <w:gridCol w:w="2010"/>
        <w:gridCol w:w="3795"/>
        <w:tblGridChange w:id="0">
          <w:tblGrid>
            <w:gridCol w:w="3555"/>
            <w:gridCol w:w="2010"/>
            <w:gridCol w:w="37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spacing w:after="0" w:line="26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pacing w:after="0" w:line="26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0e101a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spacing w:after="0" w:line="26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spacing w:after="0" w:line="264" w:lineRule="auto"/>
              <w:rPr/>
            </w:pPr>
            <w:r w:rsidDel="00000000" w:rsidR="00000000" w:rsidRPr="00000000">
              <w:rPr>
                <w:rtl w:val="0"/>
              </w:rPr>
              <w:t xml:space="preserve">[Name]</w:t>
            </w:r>
          </w:p>
          <w:p w:rsidR="00000000" w:rsidDel="00000000" w:rsidP="00000000" w:rsidRDefault="00000000" w:rsidRPr="00000000" w14:paraId="0000004A">
            <w:pPr>
              <w:spacing w:after="0" w:line="264" w:lineRule="auto"/>
              <w:rPr/>
            </w:pPr>
            <w:r w:rsidDel="00000000" w:rsidR="00000000" w:rsidRPr="00000000">
              <w:rPr>
                <w:rtl w:val="0"/>
              </w:rPr>
              <w:t xml:space="preserve">[Title]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spacing w:after="0" w:line="26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e101a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spacing w:after="0" w:line="264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</w:tbl>
    <w:p w:rsidR="00000000" w:rsidDel="00000000" w:rsidP="00000000" w:rsidRDefault="00000000" w:rsidRPr="00000000" w14:paraId="0000004D">
      <w:pPr>
        <w:spacing w:after="0"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64" w:lineRule="auto"/>
        <w:rPr/>
      </w:pPr>
      <w:r w:rsidDel="00000000" w:rsidR="00000000" w:rsidRPr="00000000">
        <w:rPr>
          <w:rtl w:val="0"/>
        </w:rPr>
        <w:t xml:space="preserve">Attachment:  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line="264" w:lineRule="auto"/>
        <w:ind w:left="720" w:hanging="360"/>
        <w:rPr/>
      </w:pPr>
      <w:r w:rsidDel="00000000" w:rsidR="00000000" w:rsidRPr="00000000">
        <w:rPr>
          <w:rtl w:val="0"/>
        </w:rPr>
        <w:t xml:space="preserve">Decision Document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line="264" w:lineRule="auto"/>
        <w:ind w:left="720" w:hanging="360"/>
        <w:rPr/>
      </w:pPr>
      <w:r w:rsidDel="00000000" w:rsidR="00000000" w:rsidRPr="00000000">
        <w:rPr>
          <w:rtl w:val="0"/>
        </w:rPr>
        <w:t xml:space="preserve">Sample User Agreement  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line="264" w:lineRule="auto"/>
        <w:ind w:left="720" w:hanging="360"/>
        <w:rPr/>
      </w:pPr>
      <w:r w:rsidDel="00000000" w:rsidR="00000000" w:rsidRPr="00000000">
        <w:rPr>
          <w:rtl w:val="0"/>
        </w:rPr>
        <w:t xml:space="preserve">Issuance Request</w:t>
      </w:r>
    </w:p>
    <w:p w:rsidR="00000000" w:rsidDel="00000000" w:rsidP="00000000" w:rsidRDefault="00000000" w:rsidRPr="00000000" w14:paraId="0000005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Public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12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12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jc w:val="cente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12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  <w:spacing w:after="12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Arial" w:cs="Arial" w:eastAsia="Arial" w:hAnsi="Arial"/>
      <w:b w:val="1"/>
      <w:color w:val="0579bd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line="273" w:lineRule="auto"/>
    </w:pPr>
    <w:rPr>
      <w:rFonts w:ascii="Arial" w:cs="Arial" w:eastAsia="Arial" w:hAnsi="Arial"/>
      <w:b w:val="1"/>
      <w:color w:val="0095da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color w:val="36609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Arial" w:cs="Arial" w:eastAsia="Arial" w:hAnsi="Arial"/>
      <w:b w:val="1"/>
      <w:color w:val="3b5789"/>
      <w:sz w:val="44"/>
      <w:szCs w:val="44"/>
    </w:rPr>
  </w:style>
  <w:style w:type="paragraph" w:styleId="Normal" w:default="1">
    <w:name w:val="Normal"/>
    <w:qFormat w:val="1"/>
    <w:rsid w:val="00FA6E89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rFonts w:eastAsia="Public Sans"/>
    </w:rPr>
  </w:style>
  <w:style w:type="paragraph" w:styleId="Heading1">
    <w:name w:val="heading 1"/>
    <w:basedOn w:val="Normal"/>
    <w:next w:val="Normal"/>
    <w:link w:val="Heading1Char"/>
    <w:uiPriority w:val="9"/>
    <w:qFormat w:val="1"/>
    <w:pPr>
      <w:keepNext w:val="1"/>
      <w:keepLines w:val="1"/>
      <w:outlineLvl w:val="0"/>
    </w:pPr>
    <w:rPr>
      <w:rFonts w:ascii="Arial" w:cs="Arial" w:eastAsia="Arial" w:hAnsi="Arial"/>
      <w:b w:val="1"/>
      <w:color w:val="0579bd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pPr>
      <w:keepNext w:val="1"/>
      <w:keepLines w:val="1"/>
      <w:spacing w:line="273" w:lineRule="auto"/>
      <w:outlineLvl w:val="1"/>
    </w:pPr>
    <w:rPr>
      <w:rFonts w:ascii="Arial" w:cs="Arial" w:eastAsia="Arial" w:hAnsi="Arial"/>
      <w:b w:val="1"/>
      <w:color w:val="0095da"/>
      <w:sz w:val="28"/>
      <w:szCs w:val="28"/>
    </w:rPr>
  </w:style>
  <w:style w:type="paragraph" w:styleId="Heading3">
    <w:name w:val="heading 3"/>
    <w:basedOn w:val="Normal"/>
    <w:next w:val="Normal"/>
    <w:uiPriority w:val="9"/>
    <w:unhideWhenUsed w:val="1"/>
    <w:qFormat w:val="1"/>
    <w:rsid w:val="00D006BB"/>
    <w:pPr>
      <w:keepNext w:val="1"/>
      <w:keepLines w:val="1"/>
      <w:outlineLvl w:val="2"/>
    </w:pPr>
    <w:rPr>
      <w:color w:val="365f91" w:themeColor="accent1" w:themeShade="0000BF"/>
      <w:sz w:val="24"/>
      <w:szCs w:val="24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</w:pPr>
    <w:rPr>
      <w:rFonts w:ascii="Arial" w:cs="Arial" w:eastAsia="Arial" w:hAnsi="Arial"/>
      <w:b w:val="1"/>
      <w:color w:val="3b5789"/>
      <w:sz w:val="44"/>
      <w:szCs w:val="44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240" w:line="240" w:lineRule="auto"/>
      <w:jc w:val="center"/>
    </w:pPr>
    <w:rPr>
      <w:color w:val="5b87d5"/>
      <w:sz w:val="36"/>
      <w:szCs w:val="3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ommentText">
    <w:name w:val="annotation text"/>
    <w:basedOn w:val="Normal"/>
    <w:link w:val="CommentTextChar"/>
    <w:uiPriority w:val="99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605F7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05F7B"/>
  </w:style>
  <w:style w:type="paragraph" w:styleId="Footer">
    <w:name w:val="footer"/>
    <w:basedOn w:val="Normal"/>
    <w:link w:val="FooterChar"/>
    <w:uiPriority w:val="99"/>
    <w:unhideWhenUsed w:val="1"/>
    <w:rsid w:val="00605F7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05F7B"/>
  </w:style>
  <w:style w:type="character" w:styleId="Hyperlink">
    <w:name w:val="Hyperlink"/>
    <w:basedOn w:val="DefaultParagraphFont"/>
    <w:uiPriority w:val="99"/>
    <w:unhideWhenUsed w:val="1"/>
    <w:rsid w:val="00605F7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605F7B"/>
    <w:rPr>
      <w:color w:val="605e5c"/>
      <w:shd w:color="auto" w:fill="e1dfdd" w:val="clear"/>
    </w:rPr>
  </w:style>
  <w:style w:type="paragraph" w:styleId="Revision">
    <w:name w:val="Revision"/>
    <w:hidden w:val="1"/>
    <w:uiPriority w:val="99"/>
    <w:semiHidden w:val="1"/>
    <w:rsid w:val="00EE439F"/>
    <w:pPr>
      <w:widowControl w:val="1"/>
      <w:spacing w:line="240" w:lineRule="auto"/>
    </w:pPr>
  </w:style>
  <w:style w:type="paragraph" w:styleId="TOC1">
    <w:name w:val="toc 1"/>
    <w:basedOn w:val="Normal"/>
    <w:next w:val="Normal"/>
    <w:autoRedefine w:val="1"/>
    <w:uiPriority w:val="39"/>
    <w:unhideWhenUsed w:val="1"/>
    <w:rsid w:val="00031F7F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031F7F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031F7F"/>
    <w:pPr>
      <w:spacing w:after="100"/>
      <w:ind w:left="440"/>
    </w:p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037E76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037E76"/>
    <w:rPr>
      <w:b w:val="1"/>
      <w:bCs w:val="1"/>
      <w:sz w:val="20"/>
      <w:szCs w:val="20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FE7862"/>
    <w:rPr>
      <w:color w:val="800080" w:themeColor="followedHyperlink"/>
      <w:u w:val="single"/>
    </w:rPr>
  </w:style>
  <w:style w:type="paragraph" w:styleId="Heading1notinTOC" w:customStyle="1">
    <w:name w:val="Heading 1 not in TOC"/>
    <w:basedOn w:val="Heading1"/>
    <w:link w:val="Heading1notinTOCChar"/>
    <w:qFormat w:val="1"/>
    <w:rsid w:val="00180B23"/>
    <w:pPr>
      <w:jc w:val="center"/>
    </w:pPr>
  </w:style>
  <w:style w:type="character" w:styleId="Heading1Char" w:customStyle="1">
    <w:name w:val="Heading 1 Char"/>
    <w:basedOn w:val="DefaultParagraphFont"/>
    <w:link w:val="Heading1"/>
    <w:uiPriority w:val="9"/>
    <w:rsid w:val="00180B23"/>
    <w:rPr>
      <w:rFonts w:ascii="Arial" w:cs="Arial" w:eastAsia="Arial" w:hAnsi="Arial"/>
      <w:b w:val="1"/>
      <w:color w:val="0579bd"/>
      <w:sz w:val="36"/>
      <w:szCs w:val="36"/>
    </w:rPr>
  </w:style>
  <w:style w:type="character" w:styleId="Heading1notinTOCChar" w:customStyle="1">
    <w:name w:val="Heading 1 not in TOC Char"/>
    <w:basedOn w:val="Heading1Char"/>
    <w:link w:val="Heading1notinTOC"/>
    <w:rsid w:val="00180B23"/>
    <w:rPr>
      <w:rFonts w:ascii="Arial" w:cs="Arial" w:eastAsia="Arial" w:hAnsi="Arial"/>
      <w:b w:val="1"/>
      <w:color w:val="0579bd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 w:val="1"/>
    <w:rsid w:val="00FA6E89"/>
    <w:pPr>
      <w:ind w:left="720"/>
      <w:contextualSpacing w:val="1"/>
    </w:pPr>
  </w:style>
  <w:style w:type="paragraph" w:styleId="Titlepagedate" w:customStyle="1">
    <w:name w:val="Title page date"/>
    <w:basedOn w:val="Normal"/>
    <w:link w:val="TitlepagedateChar"/>
    <w:qFormat w:val="1"/>
    <w:rsid w:val="00E04961"/>
  </w:style>
  <w:style w:type="paragraph" w:styleId="Titlepagefinal" w:customStyle="1">
    <w:name w:val="Title page final"/>
    <w:basedOn w:val="Normal"/>
    <w:link w:val="TitlepagefinalChar"/>
    <w:qFormat w:val="1"/>
    <w:rsid w:val="00E04961"/>
  </w:style>
  <w:style w:type="character" w:styleId="TitlepagedateChar" w:customStyle="1">
    <w:name w:val="Title page date Char"/>
    <w:basedOn w:val="DefaultParagraphFont"/>
    <w:link w:val="Titlepagedate"/>
    <w:rsid w:val="00E04961"/>
    <w:rPr>
      <w:rFonts w:ascii="Calibri" w:cs="Calibri" w:eastAsia="Public Sans" w:hAnsi="Calibri"/>
    </w:rPr>
  </w:style>
  <w:style w:type="paragraph" w:styleId="Titlepagesmalltext" w:customStyle="1">
    <w:name w:val="Title page small text"/>
    <w:basedOn w:val="Normal"/>
    <w:link w:val="TitlepagesmalltextChar"/>
    <w:qFormat w:val="1"/>
    <w:rsid w:val="00735ED1"/>
    <w:pPr>
      <w:jc w:val="center"/>
    </w:pPr>
    <w:rPr>
      <w:b w:val="1"/>
      <w:bCs w:val="1"/>
      <w:color w:val="3b5789"/>
      <w:sz w:val="24"/>
      <w:szCs w:val="24"/>
    </w:rPr>
  </w:style>
  <w:style w:type="character" w:styleId="TitlepagefinalChar" w:customStyle="1">
    <w:name w:val="Title page final Char"/>
    <w:basedOn w:val="DefaultParagraphFont"/>
    <w:link w:val="Titlepagefinal"/>
    <w:rsid w:val="00E04961"/>
    <w:rPr>
      <w:rFonts w:ascii="Calibri" w:cs="Calibri" w:eastAsia="Public Sans" w:hAnsi="Calibri"/>
    </w:rPr>
  </w:style>
  <w:style w:type="paragraph" w:styleId="Heading2notinTOC" w:customStyle="1">
    <w:name w:val="Heading 2 not in TOC"/>
    <w:basedOn w:val="Heading2"/>
    <w:link w:val="Heading2notinTOCChar"/>
    <w:qFormat w:val="1"/>
    <w:rsid w:val="00CD5639"/>
  </w:style>
  <w:style w:type="character" w:styleId="TitlepagesmalltextChar" w:customStyle="1">
    <w:name w:val="Title page small text Char"/>
    <w:basedOn w:val="DefaultParagraphFont"/>
    <w:link w:val="Titlepagesmalltext"/>
    <w:rsid w:val="00735ED1"/>
    <w:rPr>
      <w:rFonts w:ascii="Calibri" w:cs="Calibri" w:eastAsia="Public Sans" w:hAnsi="Calibri"/>
      <w:b w:val="1"/>
      <w:bCs w:val="1"/>
      <w:color w:val="3b5789"/>
      <w:sz w:val="24"/>
      <w:szCs w:val="24"/>
    </w:rPr>
  </w:style>
  <w:style w:type="paragraph" w:styleId="BodyText1" w:customStyle="1">
    <w:name w:val="Body Text1"/>
    <w:basedOn w:val="ListParagraph"/>
    <w:link w:val="BodytextChar"/>
    <w:qFormat w:val="1"/>
    <w:rsid w:val="00D616C2"/>
    <w:pPr>
      <w:numPr>
        <w:numId w:val="25"/>
      </w:numPr>
      <w:spacing w:after="0"/>
    </w:pPr>
  </w:style>
  <w:style w:type="character" w:styleId="Heading2Char" w:customStyle="1">
    <w:name w:val="Heading 2 Char"/>
    <w:basedOn w:val="DefaultParagraphFont"/>
    <w:link w:val="Heading2"/>
    <w:uiPriority w:val="9"/>
    <w:rsid w:val="00CD5639"/>
    <w:rPr>
      <w:rFonts w:ascii="Arial" w:cs="Arial" w:eastAsia="Arial" w:hAnsi="Arial"/>
      <w:b w:val="1"/>
      <w:color w:val="0095da"/>
      <w:sz w:val="28"/>
      <w:szCs w:val="28"/>
    </w:rPr>
  </w:style>
  <w:style w:type="character" w:styleId="Heading2notinTOCChar" w:customStyle="1">
    <w:name w:val="Heading 2 not in TOC Char"/>
    <w:basedOn w:val="Heading2Char"/>
    <w:link w:val="Heading2notinTOC"/>
    <w:rsid w:val="00CD5639"/>
    <w:rPr>
      <w:rFonts w:ascii="Arial" w:cs="Arial" w:eastAsia="Arial" w:hAnsi="Arial"/>
      <w:b w:val="1"/>
      <w:color w:val="0095da"/>
      <w:sz w:val="28"/>
      <w:szCs w:val="28"/>
    </w:rPr>
  </w:style>
  <w:style w:type="character" w:styleId="ListParagraphChar" w:customStyle="1">
    <w:name w:val="List Paragraph Char"/>
    <w:basedOn w:val="DefaultParagraphFont"/>
    <w:link w:val="ListParagraph"/>
    <w:uiPriority w:val="34"/>
    <w:rsid w:val="00D616C2"/>
    <w:rPr>
      <w:rFonts w:ascii="Calibri" w:cs="Calibri" w:eastAsia="Public Sans" w:hAnsi="Calibri"/>
    </w:rPr>
  </w:style>
  <w:style w:type="character" w:styleId="BodytextChar" w:customStyle="1">
    <w:name w:val="Body text Char"/>
    <w:basedOn w:val="ListParagraphChar"/>
    <w:link w:val="BodyText1"/>
    <w:rsid w:val="00D616C2"/>
    <w:rPr>
      <w:rFonts w:ascii="Calibri" w:cs="Calibri" w:eastAsia="Public Sans" w:hAnsi="Calibri"/>
    </w:rPr>
  </w:style>
  <w:style w:type="table" w:styleId="a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240" w:line="240" w:lineRule="auto"/>
      <w:jc w:val="center"/>
    </w:pPr>
    <w:rPr>
      <w:color w:val="5b87d5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playbooks.idmanagement.gov/playbooks/signfedregister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ublicSans-regular.ttf"/><Relationship Id="rId2" Type="http://schemas.openxmlformats.org/officeDocument/2006/relationships/font" Target="fonts/PublicSans-bold.ttf"/><Relationship Id="rId3" Type="http://schemas.openxmlformats.org/officeDocument/2006/relationships/font" Target="fonts/PublicSans-italic.ttf"/><Relationship Id="rId4" Type="http://schemas.openxmlformats.org/officeDocument/2006/relationships/font" Target="fonts/Public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kargEEY6IGHiA+1xjMfeGbwI0Mg==">AMUW2mV7rAohOnBFHgKSI8274F8U0sv1WfvpQOyzZ0bEeToRDwNYo1cy8JSzq1YHtxUJq8cIwqlc3UzfA0wX3dzsM9N9yKARsWCMCoMNSA87aNT56EcbDio43aK9lXbVrTvTyS4ADyx5wuTMbwe1jfV0dKCJKgIY0+q9eeZ3u7UK0K3Wnv3T+ILB/y5x6qawDKYd7RoQL+RuB0FH2RP6MkTL3psP34qIICBaS3A8C0rbYXfGmiiUgNUF3kf14macDgmuof9UQrMvxeMezxzjz0HjruSnSoqb+XDqZMf52fXQKG44RnYyd4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2023-03-07T20:59:00Z</dcterms:created>
  <dc:creator>Delegated Digital Signature Working Group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documentId_6308</vt:lpwstr>
  </property>
  <property fmtid="{D5CDD505-2E9C-101B-9397-08002B2CF9AE}" pid="3" name="grammarly_documentContext">
    <vt:lpwstr>{"goals":[],"domain":"general","emotions":[],"dialect":"american"}</vt:lpwstr>
  </property>
</Properties>
</file>