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70F6" w14:textId="77777777" w:rsidR="00A876CE" w:rsidRDefault="00A876CE">
      <w:pPr>
        <w:pStyle w:val="Heading1"/>
        <w:rPr>
          <w:rFonts w:ascii="Calibri" w:eastAsia="Times New Roman" w:hAnsi="Calibri" w:cs="Calibri"/>
          <w:color w:val="3B3B3B"/>
          <w:lang w:val="en"/>
        </w:rPr>
      </w:pPr>
      <w:r>
        <w:rPr>
          <w:rFonts w:ascii="Calibri" w:eastAsia="Times New Roman" w:hAnsi="Calibri" w:cs="Calibri"/>
          <w:color w:val="3B3B3B"/>
          <w:lang w:val="en"/>
        </w:rPr>
        <w:t>Rise 360 production storyboard</w:t>
      </w:r>
    </w:p>
    <w:p w14:paraId="60236183"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Working title:</w:t>
      </w:r>
      <w:r>
        <w:rPr>
          <w:rFonts w:ascii="Calibri" w:hAnsi="Calibri" w:cs="Calibri"/>
          <w:color w:val="3B3B3B"/>
          <w:sz w:val="22"/>
          <w:szCs w:val="22"/>
          <w:lang w:val="en"/>
        </w:rPr>
        <w:t xml:space="preserve"> Before you paste, classify.</w:t>
      </w:r>
    </w:p>
    <w:p w14:paraId="4860B7C1"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Module name in the Rise menu:</w:t>
      </w:r>
      <w:r>
        <w:rPr>
          <w:rFonts w:ascii="Calibri" w:hAnsi="Calibri" w:cs="Calibri"/>
          <w:color w:val="3B3B3B"/>
          <w:sz w:val="22"/>
          <w:szCs w:val="22"/>
          <w:lang w:val="en"/>
        </w:rPr>
        <w:t xml:space="preserve"> Safe AI and data handling</w:t>
      </w:r>
    </w:p>
    <w:p w14:paraId="417646CC"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Audience:</w:t>
      </w:r>
      <w:r>
        <w:rPr>
          <w:rFonts w:ascii="Calibri" w:hAnsi="Calibri" w:cs="Calibri"/>
          <w:color w:val="3B3B3B"/>
          <w:sz w:val="22"/>
          <w:szCs w:val="22"/>
          <w:lang w:val="en"/>
        </w:rPr>
        <w:t xml:space="preserve"> Knowledge workers on a distributed EU team (office staff, not teachers).</w:t>
      </w:r>
    </w:p>
    <w:p w14:paraId="7186D839"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Business problem:</w:t>
      </w:r>
      <w:r>
        <w:rPr>
          <w:rFonts w:ascii="Calibri" w:hAnsi="Calibri" w:cs="Calibri"/>
          <w:color w:val="3B3B3B"/>
          <w:sz w:val="22"/>
          <w:szCs w:val="22"/>
          <w:lang w:val="en"/>
        </w:rPr>
        <w:t xml:space="preserve"> People paste client data into public AI tools and share files on personal devices.</w:t>
      </w:r>
    </w:p>
    <w:p w14:paraId="5D21F3EC"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Required behaviour:</w:t>
      </w:r>
      <w:r>
        <w:rPr>
          <w:rFonts w:ascii="Calibri" w:hAnsi="Calibri" w:cs="Calibri"/>
          <w:color w:val="3B3B3B"/>
          <w:sz w:val="22"/>
          <w:szCs w:val="22"/>
          <w:lang w:val="en"/>
        </w:rPr>
        <w:t xml:space="preserve"> Before any paste, prompt, or file share: name the data → approved tool, stripped example, or no AI → if unsure, stop and ask.</w:t>
      </w:r>
    </w:p>
    <w:p w14:paraId="7A979041"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Length:</w:t>
      </w:r>
      <w:r>
        <w:rPr>
          <w:rFonts w:ascii="Calibri" w:hAnsi="Calibri" w:cs="Calibri"/>
          <w:color w:val="3B3B3B"/>
          <w:sz w:val="22"/>
          <w:szCs w:val="22"/>
          <w:lang w:val="en"/>
        </w:rPr>
        <w:t xml:space="preserve"> </w:t>
      </w:r>
      <w:r>
        <w:rPr>
          <w:rFonts w:ascii="Calibri" w:hAnsi="Calibri" w:cs="Calibri"/>
          <w:color w:val="3B3B3B"/>
          <w:sz w:val="22"/>
          <w:szCs w:val="22"/>
          <w:lang w:val="en"/>
        </w:rPr>
        <w:t>10–15 minutes. One scored check. One branch.</w:t>
      </w:r>
    </w:p>
    <w:p w14:paraId="2386008E"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Visual:</w:t>
      </w:r>
      <w:r>
        <w:rPr>
          <w:rFonts w:ascii="Calibri" w:hAnsi="Calibri" w:cs="Calibri"/>
          <w:color w:val="3B3B3B"/>
          <w:sz w:val="22"/>
          <w:szCs w:val="22"/>
          <w:lang w:val="en"/>
        </w:rPr>
        <w:t xml:space="preserve"> Module visual system PDF. Paper #FFFFFF, ink #3B3B3B, do #DBE0DC, don’t #E8DED5, step #E6E6E6. Open Sauce One and League Gothic. No fake client logo.</w:t>
      </w:r>
    </w:p>
    <w:p w14:paraId="66D013A3"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Portfolio sample.</w:t>
      </w:r>
      <w:r>
        <w:rPr>
          <w:rFonts w:ascii="Calibri" w:hAnsi="Calibri" w:cs="Calibri"/>
          <w:color w:val="3B3B3B"/>
          <w:sz w:val="22"/>
          <w:szCs w:val="22"/>
          <w:lang w:val="en"/>
        </w:rPr>
        <w:t xml:space="preserve"> Not a named employer. Named ask-role is still unconfirmed; on-screen copy uses “line manager or data-protection lead.”</w:t>
      </w:r>
    </w:p>
    <w:p w14:paraId="578E3C10" w14:textId="77777777" w:rsidR="00A876CE" w:rsidRDefault="00A876CE">
      <w:pPr>
        <w:pStyle w:val="NormalWeb"/>
        <w:rPr>
          <w:rFonts w:ascii="Calibri" w:hAnsi="Calibri" w:cs="Calibri"/>
          <w:color w:val="3B3B3B"/>
          <w:sz w:val="22"/>
          <w:szCs w:val="22"/>
          <w:lang w:val="en"/>
        </w:rPr>
      </w:pPr>
      <w:r>
        <w:rPr>
          <w:rStyle w:val="Strong"/>
          <w:rFonts w:ascii="Calibri" w:hAnsi="Calibri" w:cs="Calibri"/>
          <w:color w:val="3B3B3B"/>
          <w:sz w:val="22"/>
          <w:szCs w:val="22"/>
          <w:lang w:val="en"/>
        </w:rPr>
        <w:t>How to read the table:</w:t>
      </w:r>
      <w:r>
        <w:rPr>
          <w:rFonts w:ascii="Calibri" w:hAnsi="Calibri" w:cs="Calibri"/>
          <w:color w:val="3B3B3B"/>
          <w:sz w:val="22"/>
          <w:szCs w:val="22"/>
          <w:lang w:val="en"/>
        </w:rPr>
        <w:t xml:space="preserve"> </w:t>
      </w:r>
      <w:r>
        <w:rPr>
          <w:rFonts w:ascii="Calibri" w:hAnsi="Calibri" w:cs="Calibri"/>
          <w:color w:val="3B3B3B"/>
          <w:sz w:val="22"/>
          <w:szCs w:val="22"/>
          <w:lang w:val="en"/>
        </w:rPr>
        <w:t>“On-screen copy” is every word the learner sees, including buttons. Do not add extra sentences in Rise. “Slide format” is the Rise block type to insert.</w:t>
      </w:r>
    </w:p>
    <w:p w14:paraId="06A32894" w14:textId="77777777" w:rsidR="00A876CE" w:rsidRDefault="00A876CE">
      <w:pPr>
        <w:pStyle w:val="Heading2"/>
        <w:rPr>
          <w:rFonts w:ascii="Calibri" w:eastAsia="Times New Roman" w:hAnsi="Calibri" w:cs="Calibri"/>
          <w:color w:val="3B3B3B"/>
          <w:lang w:val="en"/>
        </w:rPr>
      </w:pPr>
      <w:r>
        <w:rPr>
          <w:rFonts w:ascii="Calibri" w:eastAsia="Times New Roman" w:hAnsi="Calibri" w:cs="Calibri"/>
          <w:color w:val="3B3B3B"/>
          <w:lang w:val="en"/>
        </w:rPr>
        <w:t>Course map</w:t>
      </w:r>
    </w:p>
    <w:p w14:paraId="3C58656C" w14:textId="77777777" w:rsidR="00A876CE" w:rsidRDefault="00A876CE">
      <w:pPr>
        <w:numPr>
          <w:ilvl w:val="0"/>
          <w:numId w:val="1"/>
        </w:numPr>
        <w:spacing w:before="100" w:beforeAutospacing="1" w:after="100" w:afterAutospacing="1"/>
        <w:rPr>
          <w:rFonts w:ascii="Calibri" w:eastAsia="Times New Roman" w:hAnsi="Calibri" w:cs="Calibri"/>
          <w:color w:val="3B3B3B"/>
          <w:sz w:val="22"/>
          <w:szCs w:val="22"/>
          <w:lang w:val="en"/>
        </w:rPr>
      </w:pPr>
      <w:r>
        <w:rPr>
          <w:rFonts w:ascii="Calibri" w:eastAsia="Times New Roman" w:hAnsi="Calibri" w:cs="Calibri"/>
          <w:color w:val="3B3B3B"/>
          <w:sz w:val="22"/>
          <w:szCs w:val="22"/>
          <w:lang w:val="en"/>
        </w:rPr>
        <w:t>Welcome</w:t>
      </w:r>
    </w:p>
    <w:p w14:paraId="2637A7CB" w14:textId="77777777" w:rsidR="00A876CE" w:rsidRDefault="00A876CE">
      <w:pPr>
        <w:numPr>
          <w:ilvl w:val="0"/>
          <w:numId w:val="1"/>
        </w:numPr>
        <w:spacing w:before="100" w:beforeAutospacing="1" w:after="100" w:afterAutospacing="1"/>
        <w:rPr>
          <w:rFonts w:ascii="Calibri" w:eastAsia="Times New Roman" w:hAnsi="Calibri" w:cs="Calibri"/>
          <w:color w:val="3B3B3B"/>
          <w:sz w:val="22"/>
          <w:szCs w:val="22"/>
          <w:lang w:val="en"/>
        </w:rPr>
      </w:pPr>
      <w:r>
        <w:rPr>
          <w:rFonts w:ascii="Calibri" w:eastAsia="Times New Roman" w:hAnsi="Calibri" w:cs="Calibri"/>
          <w:color w:val="3B3B3B"/>
          <w:sz w:val="22"/>
          <w:szCs w:val="22"/>
          <w:lang w:val="en"/>
        </w:rPr>
        <w:t>Classify (branch)</w:t>
      </w:r>
    </w:p>
    <w:p w14:paraId="402CDC21" w14:textId="77777777" w:rsidR="00A876CE" w:rsidRDefault="00A876CE">
      <w:pPr>
        <w:numPr>
          <w:ilvl w:val="0"/>
          <w:numId w:val="1"/>
        </w:numPr>
        <w:spacing w:before="100" w:beforeAutospacing="1" w:after="100" w:afterAutospacing="1"/>
        <w:rPr>
          <w:rFonts w:ascii="Calibri" w:eastAsia="Times New Roman" w:hAnsi="Calibri" w:cs="Calibri"/>
          <w:color w:val="3B3B3B"/>
          <w:sz w:val="22"/>
          <w:szCs w:val="22"/>
          <w:lang w:val="en"/>
        </w:rPr>
      </w:pPr>
      <w:r>
        <w:rPr>
          <w:rFonts w:ascii="Calibri" w:eastAsia="Times New Roman" w:hAnsi="Calibri" w:cs="Calibri"/>
          <w:color w:val="3B3B3B"/>
          <w:sz w:val="22"/>
          <w:szCs w:val="22"/>
          <w:lang w:val="en"/>
        </w:rPr>
        <w:t>Branch A — correct caution</w:t>
      </w:r>
    </w:p>
    <w:p w14:paraId="1405BF79" w14:textId="77777777" w:rsidR="00A876CE" w:rsidRDefault="00A876CE">
      <w:pPr>
        <w:numPr>
          <w:ilvl w:val="0"/>
          <w:numId w:val="1"/>
        </w:numPr>
        <w:spacing w:before="100" w:beforeAutospacing="1" w:after="100" w:afterAutospacing="1"/>
        <w:rPr>
          <w:rFonts w:ascii="Calibri" w:eastAsia="Times New Roman" w:hAnsi="Calibri" w:cs="Calibri"/>
          <w:color w:val="3B3B3B"/>
          <w:sz w:val="22"/>
          <w:szCs w:val="22"/>
          <w:lang w:val="en"/>
        </w:rPr>
      </w:pPr>
      <w:r>
        <w:rPr>
          <w:rFonts w:ascii="Calibri" w:eastAsia="Times New Roman" w:hAnsi="Calibri" w:cs="Calibri"/>
          <w:color w:val="3B3B3B"/>
          <w:sz w:val="22"/>
          <w:szCs w:val="22"/>
          <w:lang w:val="en"/>
        </w:rPr>
        <w:t>Branch B — incorrect, then coach</w:t>
      </w:r>
    </w:p>
    <w:p w14:paraId="3B8F447F" w14:textId="77777777" w:rsidR="00A876CE" w:rsidRDefault="00A876CE">
      <w:pPr>
        <w:numPr>
          <w:ilvl w:val="0"/>
          <w:numId w:val="1"/>
        </w:numPr>
        <w:spacing w:before="100" w:beforeAutospacing="1" w:after="100" w:afterAutospacing="1"/>
        <w:rPr>
          <w:rFonts w:ascii="Calibri" w:eastAsia="Times New Roman" w:hAnsi="Calibri" w:cs="Calibri"/>
          <w:color w:val="3B3B3B"/>
          <w:sz w:val="22"/>
          <w:szCs w:val="22"/>
          <w:lang w:val="en"/>
        </w:rPr>
      </w:pPr>
      <w:r>
        <w:rPr>
          <w:rFonts w:ascii="Calibri" w:eastAsia="Times New Roman" w:hAnsi="Calibri" w:cs="Calibri"/>
          <w:color w:val="3B3B3B"/>
          <w:sz w:val="22"/>
          <w:szCs w:val="22"/>
          <w:lang w:val="en"/>
        </w:rPr>
        <w:t>Rejoin — three checks</w:t>
      </w:r>
    </w:p>
    <w:p w14:paraId="0243972E" w14:textId="77777777" w:rsidR="00A876CE" w:rsidRDefault="00A876CE">
      <w:pPr>
        <w:numPr>
          <w:ilvl w:val="0"/>
          <w:numId w:val="1"/>
        </w:numPr>
        <w:spacing w:before="100" w:beforeAutospacing="1" w:after="100" w:afterAutospacing="1"/>
        <w:rPr>
          <w:rFonts w:ascii="Calibri" w:eastAsia="Times New Roman" w:hAnsi="Calibri" w:cs="Calibri"/>
          <w:color w:val="3B3B3B"/>
          <w:sz w:val="22"/>
          <w:szCs w:val="22"/>
          <w:lang w:val="en"/>
        </w:rPr>
      </w:pPr>
      <w:r>
        <w:rPr>
          <w:rFonts w:ascii="Calibri" w:eastAsia="Times New Roman" w:hAnsi="Calibri" w:cs="Calibri"/>
          <w:color w:val="3B3B3B"/>
          <w:sz w:val="22"/>
          <w:szCs w:val="22"/>
          <w:lang w:val="en"/>
        </w:rPr>
        <w:t>Scored scenario</w:t>
      </w:r>
    </w:p>
    <w:p w14:paraId="760B676C" w14:textId="77777777" w:rsidR="00A876CE" w:rsidRDefault="00A876CE">
      <w:pPr>
        <w:numPr>
          <w:ilvl w:val="0"/>
          <w:numId w:val="1"/>
        </w:numPr>
        <w:spacing w:before="100" w:beforeAutospacing="1" w:after="100" w:afterAutospacing="1"/>
        <w:rPr>
          <w:rFonts w:ascii="Calibri" w:eastAsia="Times New Roman" w:hAnsi="Calibri" w:cs="Calibri"/>
          <w:color w:val="3B3B3B"/>
          <w:sz w:val="22"/>
          <w:szCs w:val="22"/>
          <w:lang w:val="en"/>
        </w:rPr>
      </w:pPr>
      <w:r>
        <w:rPr>
          <w:rFonts w:ascii="Calibri" w:eastAsia="Times New Roman" w:hAnsi="Calibri" w:cs="Calibri"/>
          <w:color w:val="3B3B3B"/>
          <w:sz w:val="22"/>
          <w:szCs w:val="22"/>
          <w:lang w:val="en"/>
        </w:rPr>
        <w:t>Close</w:t>
      </w:r>
    </w:p>
    <w:tbl>
      <w:tblPr>
        <w:tblW w:w="5000" w:type="pct"/>
        <w:tblCellMar>
          <w:top w:w="15" w:type="dxa"/>
          <w:left w:w="15" w:type="dxa"/>
          <w:bottom w:w="15" w:type="dxa"/>
          <w:right w:w="15" w:type="dxa"/>
        </w:tblCellMar>
        <w:tblLook w:val="04A0" w:firstRow="1" w:lastRow="0" w:firstColumn="1" w:lastColumn="0" w:noHBand="0" w:noVBand="1"/>
      </w:tblPr>
      <w:tblGrid>
        <w:gridCol w:w="520"/>
        <w:gridCol w:w="2077"/>
        <w:gridCol w:w="6350"/>
        <w:gridCol w:w="6436"/>
      </w:tblGrid>
      <w:tr w:rsidR="00000000" w14:paraId="16F9FE62" w14:textId="77777777" w:rsidTr="00CC419C">
        <w:trPr>
          <w:tblHeader/>
        </w:trPr>
        <w:tc>
          <w:tcPr>
            <w:tcW w:w="169" w:type="pct"/>
            <w:tcBorders>
              <w:top w:val="single" w:sz="6" w:space="0" w:color="3B3B3B"/>
              <w:left w:val="single" w:sz="6" w:space="0" w:color="3B3B3B"/>
              <w:bottom w:val="single" w:sz="6" w:space="0" w:color="3B3B3B"/>
              <w:right w:val="single" w:sz="6" w:space="0" w:color="3B3B3B"/>
            </w:tcBorders>
            <w:shd w:val="clear" w:color="auto" w:fill="E6E6E6"/>
            <w:tcMar>
              <w:top w:w="90" w:type="dxa"/>
              <w:left w:w="120" w:type="dxa"/>
              <w:bottom w:w="90" w:type="dxa"/>
              <w:right w:w="120" w:type="dxa"/>
            </w:tcMar>
            <w:hideMark/>
          </w:tcPr>
          <w:p w14:paraId="2E8B7E6B" w14:textId="77777777" w:rsidR="00A876CE" w:rsidRDefault="00A876CE">
            <w:pPr>
              <w:jc w:val="center"/>
              <w:rPr>
                <w:rFonts w:ascii="Calibri" w:eastAsia="Times New Roman" w:hAnsi="Calibri" w:cs="Calibri"/>
                <w:b/>
                <w:bCs/>
                <w:color w:val="3B3B3B"/>
                <w:sz w:val="22"/>
                <w:szCs w:val="22"/>
              </w:rPr>
            </w:pPr>
            <w:r>
              <w:rPr>
                <w:rFonts w:ascii="Calibri" w:eastAsia="Times New Roman" w:hAnsi="Calibri" w:cs="Calibri"/>
                <w:b/>
                <w:bCs/>
                <w:color w:val="3B3B3B"/>
                <w:sz w:val="22"/>
                <w:szCs w:val="22"/>
              </w:rPr>
              <w:lastRenderedPageBreak/>
              <w:t>ID</w:t>
            </w:r>
          </w:p>
        </w:tc>
        <w:tc>
          <w:tcPr>
            <w:tcW w:w="675" w:type="pct"/>
            <w:tcBorders>
              <w:top w:val="single" w:sz="6" w:space="0" w:color="3B3B3B"/>
              <w:left w:val="single" w:sz="6" w:space="0" w:color="3B3B3B"/>
              <w:bottom w:val="single" w:sz="6" w:space="0" w:color="3B3B3B"/>
              <w:right w:val="single" w:sz="6" w:space="0" w:color="3B3B3B"/>
            </w:tcBorders>
            <w:shd w:val="clear" w:color="auto" w:fill="E6E6E6"/>
            <w:tcMar>
              <w:top w:w="90" w:type="dxa"/>
              <w:left w:w="120" w:type="dxa"/>
              <w:bottom w:w="90" w:type="dxa"/>
              <w:right w:w="120" w:type="dxa"/>
            </w:tcMar>
            <w:hideMark/>
          </w:tcPr>
          <w:p w14:paraId="387D93BB" w14:textId="77777777" w:rsidR="00A876CE" w:rsidRDefault="00A876CE">
            <w:pPr>
              <w:jc w:val="center"/>
              <w:rPr>
                <w:rFonts w:ascii="Calibri" w:eastAsia="Times New Roman" w:hAnsi="Calibri" w:cs="Calibri"/>
                <w:b/>
                <w:bCs/>
                <w:color w:val="3B3B3B"/>
                <w:sz w:val="22"/>
                <w:szCs w:val="22"/>
              </w:rPr>
            </w:pPr>
            <w:r>
              <w:rPr>
                <w:rFonts w:ascii="Calibri" w:eastAsia="Times New Roman" w:hAnsi="Calibri" w:cs="Calibri"/>
                <w:b/>
                <w:bCs/>
                <w:color w:val="3B3B3B"/>
                <w:sz w:val="22"/>
                <w:szCs w:val="22"/>
              </w:rPr>
              <w:t>Slide format</w:t>
            </w:r>
          </w:p>
        </w:tc>
        <w:tc>
          <w:tcPr>
            <w:tcW w:w="2064" w:type="pct"/>
            <w:tcBorders>
              <w:top w:val="single" w:sz="6" w:space="0" w:color="3B3B3B"/>
              <w:left w:val="single" w:sz="6" w:space="0" w:color="3B3B3B"/>
              <w:bottom w:val="single" w:sz="6" w:space="0" w:color="3B3B3B"/>
              <w:right w:val="single" w:sz="6" w:space="0" w:color="3B3B3B"/>
            </w:tcBorders>
            <w:shd w:val="clear" w:color="auto" w:fill="E6E6E6"/>
            <w:tcMar>
              <w:top w:w="90" w:type="dxa"/>
              <w:left w:w="120" w:type="dxa"/>
              <w:bottom w:w="90" w:type="dxa"/>
              <w:right w:w="120" w:type="dxa"/>
            </w:tcMar>
            <w:hideMark/>
          </w:tcPr>
          <w:p w14:paraId="44994400" w14:textId="77777777" w:rsidR="00A876CE" w:rsidRDefault="00A876CE">
            <w:pPr>
              <w:jc w:val="center"/>
              <w:rPr>
                <w:rFonts w:ascii="Calibri" w:eastAsia="Times New Roman" w:hAnsi="Calibri" w:cs="Calibri"/>
                <w:b/>
                <w:bCs/>
                <w:color w:val="3B3B3B"/>
                <w:sz w:val="22"/>
                <w:szCs w:val="22"/>
              </w:rPr>
            </w:pPr>
            <w:r>
              <w:rPr>
                <w:rFonts w:ascii="Calibri" w:eastAsia="Times New Roman" w:hAnsi="Calibri" w:cs="Calibri"/>
                <w:b/>
                <w:bCs/>
                <w:color w:val="3B3B3B"/>
                <w:sz w:val="22"/>
                <w:szCs w:val="22"/>
              </w:rPr>
              <w:t>On-screen copy (every word)</w:t>
            </w:r>
          </w:p>
        </w:tc>
        <w:tc>
          <w:tcPr>
            <w:tcW w:w="2092" w:type="pct"/>
            <w:tcBorders>
              <w:top w:val="single" w:sz="6" w:space="0" w:color="3B3B3B"/>
              <w:left w:val="single" w:sz="6" w:space="0" w:color="3B3B3B"/>
              <w:bottom w:val="single" w:sz="6" w:space="0" w:color="3B3B3B"/>
              <w:right w:val="single" w:sz="6" w:space="0" w:color="3B3B3B"/>
            </w:tcBorders>
            <w:shd w:val="clear" w:color="auto" w:fill="E6E6E6"/>
            <w:tcMar>
              <w:top w:w="90" w:type="dxa"/>
              <w:left w:w="120" w:type="dxa"/>
              <w:bottom w:w="90" w:type="dxa"/>
              <w:right w:w="120" w:type="dxa"/>
            </w:tcMar>
            <w:hideMark/>
          </w:tcPr>
          <w:p w14:paraId="46D29063" w14:textId="77777777" w:rsidR="00A876CE" w:rsidRDefault="00A876CE">
            <w:pPr>
              <w:jc w:val="center"/>
              <w:rPr>
                <w:rFonts w:ascii="Calibri" w:eastAsia="Times New Roman" w:hAnsi="Calibri" w:cs="Calibri"/>
                <w:b/>
                <w:bCs/>
                <w:color w:val="3B3B3B"/>
                <w:sz w:val="22"/>
                <w:szCs w:val="22"/>
              </w:rPr>
            </w:pPr>
            <w:r>
              <w:rPr>
                <w:rFonts w:ascii="Calibri" w:eastAsia="Times New Roman" w:hAnsi="Calibri" w:cs="Calibri"/>
                <w:b/>
                <w:bCs/>
                <w:color w:val="3B3B3B"/>
                <w:sz w:val="22"/>
                <w:szCs w:val="22"/>
              </w:rPr>
              <w:t>Interactions</w:t>
            </w:r>
          </w:p>
        </w:tc>
      </w:tr>
      <w:tr w:rsidR="00000000" w14:paraId="0716177F"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FA0B5F8"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P0</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3719FB2"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Rise player chrome (every lesson)</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90836C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Menu Safe AI and data handling Previous Next Continue</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B2A0BDE"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Default Rise player. Do not rename Continue except where a row below gives a different button label. Menu lists the seven lesson titles exactly as in the Title column of each lesson start row. Keyboard: Tab to Continue, Enter to advance. No auto-play audio.</w:t>
            </w:r>
          </w:p>
        </w:tc>
      </w:tr>
      <w:tr w:rsidR="00000000" w14:paraId="40C48F1A"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590206D"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1.0</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538E5C4"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Lesson title (sidebar)</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62D366E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Welcome</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631F3F19"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Lesson label only. Not a learner-facing heading on the canvas except in the menu.</w:t>
            </w:r>
          </w:p>
        </w:tc>
      </w:tr>
      <w:tr w:rsidR="00000000" w14:paraId="2AEEE68A"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FB2BD4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1.1</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714F92F"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Cover / title plus body</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AA83B1F"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 xml:space="preserve">Before you paste, classify. </w:t>
            </w:r>
            <w:r>
              <w:rPr>
                <w:rFonts w:ascii="Calibri" w:eastAsia="Times New Roman" w:hAnsi="Calibri" w:cs="Calibri"/>
                <w:color w:val="3B3B3B"/>
                <w:sz w:val="22"/>
                <w:szCs w:val="22"/>
              </w:rPr>
              <w:t>Remote work is fast. Public AI tools and personal drives are faster still. This module is not a policy lecture. It is the 30-second habit your team needs before client text, staff data, or unpublished files leave an approved system.</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2F0CCD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No click on the text. Heading is the cover title. Body is one paragraph under it. Do wash not required. No image, or a line icon only if one is added later (alt text then required).</w:t>
            </w:r>
          </w:p>
        </w:tc>
      </w:tr>
      <w:tr w:rsidR="00000000" w14:paraId="6A54245A"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A0F09D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1.2</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DF9181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Continue button</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81DA01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Start with a live decision</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393709E"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Primary button. Goes to lesson 2. This is the only Continue label that is not the word Continue.</w:t>
            </w:r>
          </w:p>
        </w:tc>
      </w:tr>
      <w:tr w:rsidR="00000000" w14:paraId="69B0080D"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903916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2.0</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8EEB852"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Lesson title (sidebar)</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92204B1"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Classify the data</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91AF184"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Menu label. Ungraded.</w:t>
            </w:r>
          </w:p>
        </w:tc>
      </w:tr>
      <w:tr w:rsidR="00000000" w14:paraId="3A493C75"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131D648"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2.1</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FF64FCA"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Scenario / decision — stem (title plus body)</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75FC4BB"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A colleague asks you to “just drop this into ChatGPT and tidy it.” The file is a customer list with emails and contract values. What is it?</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00B3DA9"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Read only. Then two choices. Do not score this screen. Choice B is the distractor. The list is personal and commercial data.</w:t>
            </w:r>
          </w:p>
        </w:tc>
      </w:tr>
      <w:tr w:rsidR="00000000" w14:paraId="3DF2F2BD"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6A139F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2.2</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2394399"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Scenario / decision — two buttons</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9E3050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Confidential or personal data — I must not paste it into a public AI tool. Harmless working text — public AI is fine.</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54472BF"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Single choice. First button → lesson 3 (Branch A). Second button → lesson 4 (Branch B). Buttons are the full sentences. No third choice. After a click, Rise jumps; do not show both branches.</w:t>
            </w:r>
          </w:p>
        </w:tc>
      </w:tr>
      <w:tr w:rsidR="00000000" w14:paraId="4C33037C"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C56FEF9"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3.0</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08066C8"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Lesson title (sidebar)</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8F3D5B4"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Personal and commercial data</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D5A4C6F"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Only learners who chose the first button see this lesson. Correct path. Do wash on the block if Rise allows a coloured block; otherwise paper and ink only.</w:t>
            </w:r>
          </w:p>
        </w:tc>
      </w:tr>
      <w:tr w:rsidR="00000000" w14:paraId="76B409B5"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C19789F"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3.1</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8355E07"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Title plus body (correct path)</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2650C7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Stop. This is personal and commercial data. Emails and contract values are personal data and business-confidential. Public AI tools may store prompts. Your approved path is: redacted example, internal approved tool, or no AI.</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99BBD2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No extra buttons on the text. Don’t wash is acceptable behind “Stop.” if a coloured block is used.</w:t>
            </w:r>
          </w:p>
        </w:tc>
      </w:tr>
      <w:tr w:rsidR="00000000" w14:paraId="2AAED677"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3E559B7"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lastRenderedPageBreak/>
              <w:t>3.2</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0AFB02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Continue button</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F05869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See the red lines</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208E7B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Goes to lesson 5 (rejoin). Skip lesson 4.</w:t>
            </w:r>
          </w:p>
        </w:tc>
      </w:tr>
      <w:tr w:rsidR="00000000" w14:paraId="698009F6"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0664B6F"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4.0</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F688E48"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Lesson title (sidebar)</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927396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That list is not harmless</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60D1BE57"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Only learners who chose the second button see this lesson. Coach, do not fail the module.</w:t>
            </w:r>
          </w:p>
        </w:tc>
      </w:tr>
      <w:tr w:rsidR="00000000" w14:paraId="415982B3"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00B13F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4.1</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40985ED"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Title plus body (incorrect path, coaching)</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C63D2E7"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 xml:space="preserve">That list is not harmless. </w:t>
            </w:r>
            <w:r>
              <w:rPr>
                <w:rFonts w:ascii="Calibri" w:eastAsia="Times New Roman" w:hAnsi="Calibri" w:cs="Calibri"/>
                <w:color w:val="3B3B3B"/>
                <w:sz w:val="22"/>
                <w:szCs w:val="22"/>
              </w:rPr>
              <w:t>Names, emails, and contract values are personal data under GDPR and confidential to the company. Public AI is the wrong path. You have not failed the module. You now take the same red-line screen as everyone else.</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C9EC0D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Don’t wash behind the heading if a coloured block is used. No score. No “try again” on this screen — they continue to the same rejoin as Branch A.</w:t>
            </w:r>
          </w:p>
        </w:tc>
      </w:tr>
      <w:tr w:rsidR="00000000" w14:paraId="61929256"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1F7F182"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4.2</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FF8D1F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Continue button</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79B73A7"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See the red lines</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1B0AABB"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Goes to lesson 5 (rejoin).</w:t>
            </w:r>
          </w:p>
        </w:tc>
      </w:tr>
      <w:tr w:rsidR="00000000" w14:paraId="59334A95"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F04D53E"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5.0</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77589DD"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Lesson title (sidebar)</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3368AB3"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Three checks</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E73BD5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Both branches rejoin here.</w:t>
            </w:r>
          </w:p>
        </w:tc>
      </w:tr>
      <w:tr w:rsidR="00000000" w14:paraId="1D94F7C9"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FC114C4"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5.1</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D46667D"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Title plus numbered process (01 02 03 on step tiles)</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0D6A799"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Three checks before any AI or file share 01 What data is this? (public / internal / personal / customer) 02 Is this tool on the approved list? 03 If I am unsure, I do not paste — I ask my line manager or data-protection lead.</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65E8586B"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Not click-to-reveal unless Rise Process block is used. If Process: each number expands the same sentence; no extra words. Step wash #E6E6E6 on the three tiles. League Gothic for 01 02 03.</w:t>
            </w:r>
          </w:p>
        </w:tc>
      </w:tr>
      <w:tr w:rsidR="00000000" w14:paraId="17BFE917"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6F2979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5.2</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3AF2159"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Continue button</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09F3FE8"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Try one scenario</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8636252"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Goes to lesson 6.</w:t>
            </w:r>
          </w:p>
        </w:tc>
      </w:tr>
      <w:tr w:rsidR="00000000" w14:paraId="78A0BAFB"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85DDBC4"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6.0</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3C4C1D4"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Lesson title (sidebar)</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E4C8A67"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One scenario</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966679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The only scored lesson. One attempt unless Rise default retry is on — leave default. Track completion in SCORM 1.2 later.</w:t>
            </w:r>
          </w:p>
        </w:tc>
      </w:tr>
      <w:tr w:rsidR="00000000" w14:paraId="504A5A1F"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932390D"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6.1</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6C389F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Knowledge check — stem (title plus body)</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6903480"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You are drafting a process note. You want AI to improve the English. The note includes one customer email address.</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53AEAB1"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Read the stem. Then three answers. One correct.</w:t>
            </w:r>
          </w:p>
        </w:tc>
      </w:tr>
      <w:tr w:rsidR="00000000" w14:paraId="68054957"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F703E9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6.2</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01DECD7"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Knowledge check — multiple choice, one correct</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713C09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Remove the email (or replace with a fake), then use the approved tool. Paste the whole note into a public tool because it is “just one email.” Put the file on a personal Google Drive so a contractor can edit it overnight.</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BD0E59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First option is correct. Second and third are incorrect. Shuffle off (keep this order). Button: Submit.</w:t>
            </w:r>
          </w:p>
        </w:tc>
      </w:tr>
      <w:tr w:rsidR="00000000" w14:paraId="05378406"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DDB8D3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6.3</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AC60F9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Knowledge check — Submit button</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B50D0B2"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Submit</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66632962"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Required. Reveals feedback. Do not auto-advance.</w:t>
            </w:r>
          </w:p>
        </w:tc>
      </w:tr>
      <w:tr w:rsidR="00000000" w14:paraId="1BA174AD"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DD0917A"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6.4</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569D11D"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Feedback layer — correct (do wash)</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787E634"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 xml:space="preserve">Correct </w:t>
            </w:r>
            <w:r>
              <w:rPr>
                <w:rFonts w:ascii="Calibri" w:eastAsia="Times New Roman" w:hAnsi="Calibri" w:cs="Calibri"/>
                <w:color w:val="3B3B3B"/>
                <w:sz w:val="22"/>
                <w:szCs w:val="22"/>
              </w:rPr>
              <w:t>Redact first, then use an approved tool.</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3973A39"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Shown only if the first option was submitted. Continue to lesson 7.</w:t>
            </w:r>
          </w:p>
        </w:tc>
      </w:tr>
      <w:tr w:rsidR="00000000" w14:paraId="1210FC1B"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C05CDC4"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6.5</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5B3A588"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Feedback layer — incorrect (don’t wash)</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7E21743"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Not quite One email is still personal data. Personal drives are not the contractor workaround.</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7A362C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Shown if the second or third option was submitted. Same feedback for both wrong answers. Continue to lesson 7. Do not lock the learner out of the close.</w:t>
            </w:r>
          </w:p>
        </w:tc>
      </w:tr>
      <w:tr w:rsidR="00000000" w14:paraId="294CA2EB"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30A457CC"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6.6</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BC90B98"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Continue after feedback</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ACEA1EE"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Continue</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44270DE3"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Goes to lesson 7.</w:t>
            </w:r>
          </w:p>
        </w:tc>
      </w:tr>
      <w:tr w:rsidR="00000000" w14:paraId="5352B295"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C12E8F5"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7.0</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C800C2A"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Lesson title (sidebar)</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75FAF8D"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The habit is the course</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0CDE9DA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Close. Not scored.</w:t>
            </w:r>
          </w:p>
        </w:tc>
      </w:tr>
      <w:tr w:rsidR="00000000" w14:paraId="502AE7CE"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699F0B2"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7.1</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AB3AC16"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Title plus body</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9DDB683"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The habit is the course. Classify → approved tool or no AI → ask if unsure. Take the one-page job aid and keep it next to your desktop.</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29AF966F"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No quiz. Optional: a text link “Open the job aid” only if the PDF URL is live; otherwise omit the link and keep the sentence as written.</w:t>
            </w:r>
          </w:p>
        </w:tc>
      </w:tr>
      <w:tr w:rsidR="00000000" w14:paraId="0D8D3DC2" w14:textId="77777777" w:rsidTr="00CC419C">
        <w:tc>
          <w:tcPr>
            <w:tcW w:w="169"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190BAE9E"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7.2</w:t>
            </w:r>
          </w:p>
        </w:tc>
        <w:tc>
          <w:tcPr>
            <w:tcW w:w="675"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036A2A3"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End / complete</w:t>
            </w:r>
          </w:p>
        </w:tc>
        <w:tc>
          <w:tcPr>
            <w:tcW w:w="2064"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7B0A2CBD"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You’re all done. Download your certificate Restart this course</w:t>
            </w:r>
          </w:p>
        </w:tc>
        <w:tc>
          <w:tcPr>
            <w:tcW w:w="2092" w:type="pct"/>
            <w:tcBorders>
              <w:top w:val="single" w:sz="6" w:space="0" w:color="3B3B3B"/>
              <w:left w:val="single" w:sz="6" w:space="0" w:color="3B3B3B"/>
              <w:bottom w:val="single" w:sz="6" w:space="0" w:color="3B3B3B"/>
              <w:right w:val="single" w:sz="6" w:space="0" w:color="3B3B3B"/>
            </w:tcBorders>
            <w:tcMar>
              <w:top w:w="90" w:type="dxa"/>
              <w:left w:w="120" w:type="dxa"/>
              <w:bottom w:w="90" w:type="dxa"/>
              <w:right w:w="120" w:type="dxa"/>
            </w:tcMar>
            <w:hideMark/>
          </w:tcPr>
          <w:p w14:paraId="506353A8" w14:textId="77777777" w:rsidR="00A876CE" w:rsidRDefault="00A876CE">
            <w:pPr>
              <w:rPr>
                <w:rFonts w:ascii="Calibri" w:eastAsia="Times New Roman" w:hAnsi="Calibri" w:cs="Calibri"/>
                <w:color w:val="3B3B3B"/>
                <w:sz w:val="22"/>
                <w:szCs w:val="22"/>
              </w:rPr>
            </w:pPr>
            <w:r>
              <w:rPr>
                <w:rFonts w:ascii="Calibri" w:eastAsia="Times New Roman" w:hAnsi="Calibri" w:cs="Calibri"/>
                <w:color w:val="3B3B3B"/>
                <w:sz w:val="22"/>
                <w:szCs w:val="22"/>
              </w:rPr>
              <w:t>Rise default completion screen. If the trial shows “Download your certificate” or “Restart this course,” leave Rise defaults; do not write a fake certificate. SCORM complete when this lesson is reached after the scored check.</w:t>
            </w:r>
          </w:p>
        </w:tc>
      </w:tr>
    </w:tbl>
    <w:p w14:paraId="7E86FA43" w14:textId="77777777" w:rsidR="00A876CE" w:rsidRDefault="00A876CE">
      <w:pPr>
        <w:pStyle w:val="Heading2"/>
        <w:rPr>
          <w:rFonts w:ascii="Calibri" w:eastAsia="Times New Roman" w:hAnsi="Calibri" w:cs="Calibri"/>
          <w:color w:val="3B3B3B"/>
          <w:lang w:val="en"/>
        </w:rPr>
      </w:pPr>
      <w:r>
        <w:rPr>
          <w:rFonts w:ascii="Calibri" w:eastAsia="Times New Roman" w:hAnsi="Calibri" w:cs="Calibri"/>
          <w:color w:val="3B3B3B"/>
          <w:lang w:val="en"/>
        </w:rPr>
        <w:t>Words that must not appear</w:t>
      </w:r>
    </w:p>
    <w:p w14:paraId="1B3BE4C9" w14:textId="77777777" w:rsidR="00A876CE" w:rsidRDefault="00A876CE">
      <w:pPr>
        <w:pStyle w:val="NormalWeb"/>
        <w:rPr>
          <w:rFonts w:ascii="Calibri" w:hAnsi="Calibri" w:cs="Calibri"/>
          <w:color w:val="3B3B3B"/>
          <w:sz w:val="22"/>
          <w:szCs w:val="22"/>
          <w:lang w:val="en"/>
        </w:rPr>
      </w:pPr>
      <w:r>
        <w:rPr>
          <w:rFonts w:ascii="Calibri" w:hAnsi="Calibri" w:cs="Calibri"/>
          <w:color w:val="3B3B3B"/>
          <w:sz w:val="22"/>
          <w:szCs w:val="22"/>
          <w:lang w:val="en"/>
        </w:rPr>
        <w:t>students, classroom, teacher, pupils, kids, 40% fewer leaks, a named client, a fake company logo, teal, Poppins, Montserrat.</w:t>
      </w:r>
    </w:p>
    <w:p w14:paraId="63C4C404" w14:textId="77777777" w:rsidR="00A876CE" w:rsidRDefault="00A876CE">
      <w:pPr>
        <w:pStyle w:val="NormalWeb"/>
        <w:rPr>
          <w:rFonts w:ascii="Calibri" w:hAnsi="Calibri" w:cs="Calibri"/>
          <w:color w:val="3B3B3B"/>
          <w:sz w:val="22"/>
          <w:szCs w:val="22"/>
          <w:lang w:val="en"/>
        </w:rPr>
      </w:pPr>
      <w:r>
        <w:rPr>
          <w:rFonts w:ascii="Calibri" w:hAnsi="Calibri" w:cs="Calibri"/>
          <w:color w:val="3B3B3B"/>
          <w:sz w:val="22"/>
          <w:szCs w:val="22"/>
          <w:lang w:val="en"/>
        </w:rPr>
        <w:t>Keith Byne · portfolio sample · Case B · Safe AI</w:t>
      </w:r>
    </w:p>
    <w:sectPr w:rsidR="00A876CE" w:rsidSect="00CC419C">
      <w:pgSz w:w="16839" w:h="11907"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97C43"/>
    <w:multiLevelType w:val="multilevel"/>
    <w:tmpl w:val="8E58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84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419C"/>
    <w:rsid w:val="009D5113"/>
    <w:rsid w:val="00A876CE"/>
    <w:rsid w:val="00CC4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93781"/>
  <w15:chartTrackingRefBased/>
  <w15:docId w15:val="{5CD2D66E-8027-470E-BAEA-94E9E110B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6"/>
      <w:szCs w:val="36"/>
    </w:rPr>
  </w:style>
  <w:style w:type="paragraph" w:styleId="Heading2">
    <w:name w:val="heading 2"/>
    <w:basedOn w:val="Normal"/>
    <w:link w:val="Heading2Char"/>
    <w:uiPriority w:val="9"/>
    <w:qFormat/>
    <w:pPr>
      <w:spacing w:before="336" w:after="100" w:afterAutospacing="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1062</Words>
  <Characters>6058</Characters>
  <Application>Microsoft Office Word</Application>
  <DocSecurity>0</DocSecurity>
  <Lines>50</Lines>
  <Paragraphs>14</Paragraphs>
  <ScaleCrop>false</ScaleCrop>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360 storyboard — Before you paste, classify</dc:title>
  <dc:subject/>
  <dc:creator>Keith Byne</dc:creator>
  <cp:keywords/>
  <dc:description/>
  <cp:lastModifiedBy>Keith Byne</cp:lastModifiedBy>
  <cp:revision>2</cp:revision>
  <dcterms:created xsi:type="dcterms:W3CDTF">2026-09-28T17:19:00Z</dcterms:created>
  <dcterms:modified xsi:type="dcterms:W3CDTF">2026-09-28T17:19:00Z</dcterms:modified>
</cp:coreProperties>
</file>