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33" w:lineRule="auto" w:before="434" w:after="80"/>
        <w:ind w:left="452" w:right="0" w:firstLine="0"/>
        <w:jc w:val="left"/>
      </w:pPr>
      <w:r>
        <w:rPr>
          <w:rFonts w:ascii="Arial" w:hAnsi="Arial" w:eastAsia="Arial"/>
          <w:b/>
          <w:i w:val="0"/>
          <w:color w:val="ABABAB"/>
          <w:sz w:val="48"/>
        </w:rPr>
        <w:t>APPENDIX E: Quality Management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4509"/>
        <w:gridCol w:w="4509"/>
      </w:tblGrid>
      <w:tr>
        <w:trPr>
          <w:trHeight w:hRule="exact" w:val="1110"/>
        </w:trPr>
        <w:tc>
          <w:tcPr>
            <w:tcW w:type="dxa" w:w="8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232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48"/>
              </w:rPr>
              <w:t xml:space="preserve">System Policy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ABABAB"/>
                <w:sz w:val="26"/>
              </w:rPr>
              <w:t>Standards, Processes &amp; Certifications for Scientific Data Platform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4" w:after="0"/>
              <w:ind w:left="6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28750" cy="2857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285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34" w:after="0"/>
        <w:ind w:left="452" w:right="0" w:firstLine="0"/>
        <w:jc w:val="left"/>
      </w:pPr>
      <w:r>
        <w:rPr>
          <w:rFonts w:ascii="Arial" w:hAnsi="Arial" w:eastAsia="Arial"/>
          <w:b w:val="0"/>
          <w:i w:val="0"/>
          <w:color w:val="ABABAB"/>
          <w:sz w:val="26"/>
        </w:rPr>
        <w:t>Excellence</w:t>
      </w:r>
    </w:p>
    <w:p>
      <w:pPr>
        <w:autoSpaceDN w:val="0"/>
        <w:autoSpaceDE w:val="0"/>
        <w:widowControl/>
        <w:spacing w:line="233" w:lineRule="auto" w:before="168" w:after="0"/>
        <w:ind w:left="452" w:right="0" w:firstLine="0"/>
        <w:jc w:val="left"/>
      </w:pPr>
      <w:r>
        <w:rPr>
          <w:rFonts w:ascii="Arial" w:hAnsi="Arial" w:eastAsia="Arial"/>
          <w:b w:val="0"/>
          <w:i w:val="0"/>
          <w:color w:val="ABABAB"/>
          <w:sz w:val="20"/>
        </w:rPr>
        <w:t>GDAC-SA Advanced Analytics Platform RFQ | Lithodat Pty Ltd</w:t>
      </w:r>
    </w:p>
    <w:p>
      <w:pPr>
        <w:autoSpaceDN w:val="0"/>
        <w:autoSpaceDE w:val="0"/>
        <w:widowControl/>
        <w:spacing w:line="283" w:lineRule="auto" w:before="916" w:after="0"/>
        <w:ind w:left="738" w:right="720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>Policy Overview: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 Lithodat is committed to delivering world-class geoscience data platforms through rigorous quality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management systems, continuous improvement, and adherence to international standards. Our </w:t>
      </w:r>
      <w:r>
        <w:rPr>
          <w:rFonts w:ascii="Arial" w:hAnsi="Arial" w:eastAsia="Arial"/>
          <w:b/>
          <w:i w:val="0"/>
          <w:color w:val="1F4E78"/>
          <w:sz w:val="20"/>
        </w:rPr>
        <w:t xml:space="preserve">"Geology First"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philosophy ensures that qualified geologists are embedded throughout our organization—from executive leadership to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quality control teams—guaranteeing that scientific accuracy and geological understanding drive every decision. This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policy outlines our approach to software quality, data governance, scientific data management, and organizational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quality assurance—ensuring we exceed client expectations while maintaining the highest standards of reliability, </w:t>
      </w:r>
      <w:r>
        <w:rPr>
          <w:rFonts w:ascii="Arial" w:hAnsi="Arial" w:eastAsia="Arial"/>
          <w:b w:val="0"/>
          <w:i w:val="0"/>
          <w:color w:val="333333"/>
          <w:sz w:val="20"/>
        </w:rPr>
        <w:t>security, and scientific integrity.</w:t>
      </w:r>
    </w:p>
    <w:p>
      <w:pPr>
        <w:autoSpaceDN w:val="0"/>
        <w:autoSpaceDE w:val="0"/>
        <w:widowControl/>
        <w:spacing w:line="233" w:lineRule="auto" w:before="518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1. Quality Management Systems and Standards</w:t>
      </w:r>
    </w:p>
    <w:p>
      <w:pPr>
        <w:autoSpaceDN w:val="0"/>
        <w:autoSpaceDE w:val="0"/>
        <w:widowControl/>
        <w:spacing w:line="271" w:lineRule="auto" w:before="280" w:after="0"/>
        <w:ind w:left="452" w:right="1008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Lithodat follows internationally recognized frameworks for software quality, data governance, and scientific data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management. While Lithodat is not currently ISO-certified at the organizational level, its internal processes and </w:t>
      </w:r>
      <w:r>
        <w:rPr>
          <w:rFonts w:ascii="Arial" w:hAnsi="Arial" w:eastAsia="Arial"/>
          <w:b w:val="0"/>
          <w:i w:val="0"/>
          <w:color w:val="333333"/>
          <w:sz w:val="21"/>
        </w:rPr>
        <w:t>platform architecture fully align with:</w:t>
      </w:r>
    </w:p>
    <w:p>
      <w:pPr>
        <w:autoSpaceDN w:val="0"/>
        <w:autoSpaceDE w:val="0"/>
        <w:widowControl/>
        <w:spacing w:line="233" w:lineRule="auto" w:before="236" w:after="62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ISO 9001 – Quality Management Systems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09"/>
        <w:gridCol w:w="4509"/>
      </w:tblGrid>
      <w:tr>
        <w:trPr>
          <w:trHeight w:hRule="exact" w:val="1420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60" w:after="0"/>
              <w:ind w:left="92" w:right="302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Documented, process-driven development workflows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Strong customer focus and delivery reliability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Clear product lifecycle management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Continuous improvement procedures</w:t>
            </w:r>
          </w:p>
        </w:tc>
      </w:tr>
    </w:tbl>
    <w:p>
      <w:pPr>
        <w:autoSpaceDN w:val="0"/>
        <w:autoSpaceDE w:val="0"/>
        <w:widowControl/>
        <w:spacing w:line="235" w:lineRule="auto" w:before="110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Status: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Alignment (not formally certified)</w:t>
      </w:r>
    </w:p>
    <w:p>
      <w:pPr>
        <w:autoSpaceDN w:val="0"/>
        <w:autoSpaceDE w:val="0"/>
        <w:widowControl/>
        <w:spacing w:line="233" w:lineRule="auto" w:before="250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ISO 27001 – Information Security Management</w:t>
      </w:r>
    </w:p>
    <w:p>
      <w:pPr>
        <w:autoSpaceDN w:val="0"/>
        <w:autoSpaceDE w:val="0"/>
        <w:widowControl/>
        <w:spacing w:line="235" w:lineRule="auto" w:before="108" w:after="124"/>
        <w:ind w:left="4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Lithodat's platform and operational practices adhere to ISO 27001 principles through: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09"/>
        <w:gridCol w:w="4509"/>
      </w:tblGrid>
      <w:tr>
        <w:trPr>
          <w:trHeight w:hRule="exact" w:val="1766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0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60" w:after="0"/>
              <w:ind w:left="92" w:right="331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Role-based access control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Network segmentation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Encryption of all data at rest and in transit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Secure Software Development Lifecycle (SDLC)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Continuous monitoring and log auditing</w:t>
            </w:r>
          </w:p>
        </w:tc>
      </w:tr>
    </w:tbl>
    <w:p>
      <w:pPr>
        <w:autoSpaceDN w:val="0"/>
        <w:autoSpaceDE w:val="0"/>
        <w:widowControl/>
        <w:spacing w:line="235" w:lineRule="auto" w:before="124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Status: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Alignment (not formally certified)</w:t>
      </w:r>
    </w:p>
    <w:p>
      <w:pPr>
        <w:autoSpaceDN w:val="0"/>
        <w:autoSpaceDE w:val="0"/>
        <w:widowControl/>
        <w:spacing w:line="235" w:lineRule="auto" w:before="184" w:after="0"/>
        <w:ind w:left="452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21"/>
        </w:rPr>
        <w:t>Note: Infrastructure runs entirely on AWS, which is ISO 27001-certified.</w:t>
      </w:r>
    </w:p>
    <w:p>
      <w:pPr>
        <w:autoSpaceDN w:val="0"/>
        <w:autoSpaceDE w:val="0"/>
        <w:widowControl/>
        <w:spacing w:line="233" w:lineRule="auto" w:before="236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FAIR Data Principles</w:t>
      </w:r>
    </w:p>
    <w:p>
      <w:pPr>
        <w:autoSpaceDN w:val="0"/>
        <w:autoSpaceDE w:val="0"/>
        <w:widowControl/>
        <w:spacing w:line="259" w:lineRule="auto" w:before="122" w:after="0"/>
        <w:ind w:left="452" w:right="72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Lithodat applies the FAIR standards (Findable, Accessible, Interoperable, Reusable) across all its national scientific </w:t>
      </w:r>
      <w:r>
        <w:rPr>
          <w:rFonts w:ascii="Arial" w:hAnsi="Arial" w:eastAsia="Arial"/>
          <w:b w:val="0"/>
          <w:i w:val="0"/>
          <w:color w:val="333333"/>
          <w:sz w:val="21"/>
        </w:rPr>
        <w:t>data platforms (EarthBank, NRCan thermochronology, isotope platforms).</w:t>
      </w:r>
    </w:p>
    <w:p>
      <w:pPr>
        <w:sectPr>
          <w:pgSz w:w="11899" w:h="16838"/>
          <w:pgMar w:top="338" w:right="0" w:bottom="34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33" w:lineRule="auto" w:before="34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2. Quality Control Processes for Software Development</w:t>
      </w:r>
    </w:p>
    <w:p>
      <w:pPr>
        <w:autoSpaceDN w:val="0"/>
        <w:autoSpaceDE w:val="0"/>
        <w:widowControl/>
        <w:spacing w:line="235" w:lineRule="auto" w:before="264" w:after="0"/>
        <w:ind w:left="4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Lithodat maintains a robust Software Development Lifecycle (SDLC) with:</w:t>
      </w:r>
    </w:p>
    <w:p>
      <w:pPr>
        <w:autoSpaceDN w:val="0"/>
        <w:autoSpaceDE w:val="0"/>
        <w:widowControl/>
        <w:spacing w:line="233" w:lineRule="auto" w:before="250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Code Quality Controls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08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Mandatory Peer Review: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All code submissions require peer review before merge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24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Linting and Style Enforcement: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Automated code quality checks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24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Git Workflows: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Protected branches and pull request gating</w:t>
      </w:r>
    </w:p>
    <w:p>
      <w:pPr>
        <w:autoSpaceDN w:val="0"/>
        <w:autoSpaceDE w:val="0"/>
        <w:widowControl/>
        <w:spacing w:line="233" w:lineRule="auto" w:before="236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Development Workflow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22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Agile Methodology: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Sprint cycles with continuous improvement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10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Staging Environments: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Pre-production testing before deployment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2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Versioned Releases: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Change logs and version control</w:t>
      </w:r>
    </w:p>
    <w:p>
      <w:pPr>
        <w:autoSpaceDN w:val="0"/>
        <w:autoSpaceDE w:val="0"/>
        <w:widowControl/>
        <w:spacing w:line="233" w:lineRule="auto" w:before="236" w:after="64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Documentation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0.0" w:type="dxa"/>
      </w:tblPr>
      <w:tblGrid>
        <w:gridCol w:w="4509"/>
        <w:gridCol w:w="4509"/>
      </w:tblGrid>
      <w:tr>
        <w:trPr>
          <w:trHeight w:hRule="exact" w:val="1292"/>
        </w:trPr>
        <w:tc>
          <w:tcPr>
            <w:tcW w:type="dxa" w:w="210"/>
            <w:tcBorders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800"/>
            <w:tcBorders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auto" w:before="60" w:after="0"/>
              <w:ind w:left="92" w:right="604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API documentation with comprehensive schemas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Data model schemas and metadata specifications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Infrastructure-as-code documentation</w:t>
            </w:r>
          </w:p>
        </w:tc>
      </w:tr>
    </w:tbl>
    <w:p>
      <w:pPr>
        <w:autoSpaceDN w:val="0"/>
        <w:autoSpaceDE w:val="0"/>
        <w:widowControl/>
        <w:spacing w:line="235" w:lineRule="auto" w:before="282" w:after="244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3. Testing and Validation Procedures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8.0" w:type="dxa"/>
      </w:tblPr>
      <w:tblGrid>
        <w:gridCol w:w="3006"/>
        <w:gridCol w:w="3006"/>
        <w:gridCol w:w="3006"/>
      </w:tblGrid>
      <w:tr>
        <w:trPr>
          <w:trHeight w:hRule="exact" w:val="480"/>
        </w:trPr>
        <w:tc>
          <w:tcPr>
            <w:tcW w:type="dxa" w:w="2158"/>
            <w:tcBorders>
              <w:start w:sz="5.599999999999994" w:val="single" w:color="#DDDDDD"/>
              <w:top w:sz="6.400000000000091" w:val="single" w:color="#DDDDDD"/>
              <w:end w:sz="5.599999999999909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Test Type</w:t>
            </w:r>
          </w:p>
        </w:tc>
        <w:tc>
          <w:tcPr>
            <w:tcW w:type="dxa" w:w="3692"/>
            <w:tcBorders>
              <w:start w:sz="5.599999999999909" w:val="single" w:color="#DDDDDD"/>
              <w:top w:sz="6.400000000000091" w:val="single" w:color="#DDDDDD"/>
              <w:end w:sz="6.400000000000091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Purpose</w:t>
            </w:r>
          </w:p>
        </w:tc>
        <w:tc>
          <w:tcPr>
            <w:tcW w:type="dxa" w:w="5144"/>
            <w:tcBorders>
              <w:start w:sz="6.400000000000091" w:val="single" w:color="#DDDDDD"/>
              <w:top w:sz="6.400000000000091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Implementation</w:t>
            </w:r>
          </w:p>
        </w:tc>
      </w:tr>
      <w:tr>
        <w:trPr>
          <w:trHeight w:hRule="exact" w:val="750"/>
        </w:trPr>
        <w:tc>
          <w:tcPr>
            <w:tcW w:type="dxa" w:w="2158"/>
            <w:tcBorders>
              <w:start w:sz="5.599999999999994" w:val="single" w:color="#DDDDDD"/>
              <w:top w:sz="6.400000000000091" w:val="single" w:color="#DDDDDD"/>
              <w:end w:sz="5.599999999999909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Unit Testing</w:t>
            </w:r>
          </w:p>
        </w:tc>
        <w:tc>
          <w:tcPr>
            <w:tcW w:type="dxa" w:w="3692"/>
            <w:tcBorders>
              <w:start w:sz="5.599999999999909" w:val="single" w:color="#DDDDDD"/>
              <w:top w:sz="6.400000000000091" w:val="single" w:color="#DDDDDD"/>
              <w:end w:sz="6.400000000000091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2" w:after="0"/>
              <w:ind w:left="12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Validate data handling and business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logic</w:t>
            </w:r>
          </w:p>
        </w:tc>
        <w:tc>
          <w:tcPr>
            <w:tcW w:type="dxa" w:w="5144"/>
            <w:tcBorders>
              <w:start w:sz="6.400000000000091" w:val="single" w:color="#DDDDDD"/>
              <w:top w:sz="6.400000000000091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Automated tests for all core functions</w:t>
            </w:r>
          </w:p>
        </w:tc>
      </w:tr>
      <w:tr>
        <w:trPr>
          <w:trHeight w:hRule="exact" w:val="480"/>
        </w:trPr>
        <w:tc>
          <w:tcPr>
            <w:tcW w:type="dxa" w:w="2158"/>
            <w:tcBorders>
              <w:start w:sz="5.599999999999994" w:val="single" w:color="#DDDDDD"/>
              <w:top w:sz="5.599999999999909" w:val="single" w:color="#DDDDDD"/>
              <w:end w:sz="5.599999999999909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Integration Testing</w:t>
            </w:r>
          </w:p>
        </w:tc>
        <w:tc>
          <w:tcPr>
            <w:tcW w:type="dxa" w:w="3692"/>
            <w:tcBorders>
              <w:start w:sz="5.599999999999909" w:val="single" w:color="#DDDDDD"/>
              <w:top w:sz="5.599999999999909" w:val="single" w:color="#DDDDDD"/>
              <w:end w:sz="6.400000000000091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Ensure system compatibility</w:t>
            </w:r>
          </w:p>
        </w:tc>
        <w:tc>
          <w:tcPr>
            <w:tcW w:type="dxa" w:w="5144"/>
            <w:tcBorders>
              <w:start w:sz="6.400000000000091" w:val="single" w:color="#DDDDDD"/>
              <w:top w:sz="5.599999999999909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Cross-pipeline and infrastructure testing</w:t>
            </w:r>
          </w:p>
        </w:tc>
      </w:tr>
      <w:tr>
        <w:trPr>
          <w:trHeight w:hRule="exact" w:val="464"/>
        </w:trPr>
        <w:tc>
          <w:tcPr>
            <w:tcW w:type="dxa" w:w="2158"/>
            <w:tcBorders>
              <w:start w:sz="5.599999999999994" w:val="single" w:color="#DDDDDD"/>
              <w:top w:sz="5.599999999999909" w:val="single" w:color="#DDDDDD"/>
              <w:end w:sz="5.599999999999909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End-to-End Testing</w:t>
            </w:r>
          </w:p>
        </w:tc>
        <w:tc>
          <w:tcPr>
            <w:tcW w:type="dxa" w:w="3692"/>
            <w:tcBorders>
              <w:start w:sz="5.599999999999909" w:val="single" w:color="#DDDDDD"/>
              <w:top w:sz="5.599999999999909" w:val="single" w:color="#DDDDDD"/>
              <w:end w:sz="6.400000000000091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Simulate real user workflows</w:t>
            </w:r>
          </w:p>
        </w:tc>
        <w:tc>
          <w:tcPr>
            <w:tcW w:type="dxa" w:w="5144"/>
            <w:tcBorders>
              <w:start w:sz="6.400000000000091" w:val="single" w:color="#DDDDDD"/>
              <w:top w:sz="5.599999999999909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User journey testing at scale</w:t>
            </w:r>
          </w:p>
        </w:tc>
      </w:tr>
      <w:tr>
        <w:trPr>
          <w:trHeight w:hRule="exact" w:val="766"/>
        </w:trPr>
        <w:tc>
          <w:tcPr>
            <w:tcW w:type="dxa" w:w="2158"/>
            <w:tcBorders>
              <w:start w:sz="5.599999999999994" w:val="single" w:color="#DDDDDD"/>
              <w:top w:sz="5.599999999999909" w:val="single" w:color="#DDDDDD"/>
              <w:end w:sz="5.599999999999909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4" w:after="0"/>
              <w:ind w:left="124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 xml:space="preserve">Performance </w:t>
            </w: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Testing</w:t>
            </w:r>
          </w:p>
        </w:tc>
        <w:tc>
          <w:tcPr>
            <w:tcW w:type="dxa" w:w="3692"/>
            <w:tcBorders>
              <w:start w:sz="5.599999999999909" w:val="single" w:color="#DDDDDD"/>
              <w:top w:sz="5.599999999999909" w:val="single" w:color="#DDDDDD"/>
              <w:end w:sz="6.400000000000091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Validate scalability</w:t>
            </w:r>
          </w:p>
        </w:tc>
        <w:tc>
          <w:tcPr>
            <w:tcW w:type="dxa" w:w="5144"/>
            <w:tcBorders>
              <w:start w:sz="6.400000000000091" w:val="single" w:color="#DDDDDD"/>
              <w:top w:sz="5.599999999999909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1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Load testing for national datasets</w:t>
            </w:r>
          </w:p>
        </w:tc>
      </w:tr>
      <w:tr>
        <w:trPr>
          <w:trHeight w:hRule="exact" w:val="750"/>
        </w:trPr>
        <w:tc>
          <w:tcPr>
            <w:tcW w:type="dxa" w:w="2158"/>
            <w:tcBorders>
              <w:start w:sz="5.599999999999994" w:val="single" w:color="#DDDDDD"/>
              <w:top w:sz="6.400000000000091" w:val="single" w:color="#DDDDDD"/>
              <w:end w:sz="5.599999999999909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Security Testing</w:t>
            </w:r>
          </w:p>
        </w:tc>
        <w:tc>
          <w:tcPr>
            <w:tcW w:type="dxa" w:w="3692"/>
            <w:tcBorders>
              <w:start w:sz="5.599999999999909" w:val="single" w:color="#DDDDDD"/>
              <w:top w:sz="6.400000000000091" w:val="single" w:color="#DDDDDD"/>
              <w:end w:sz="6.400000000000091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Identify vulnerabilities</w:t>
            </w:r>
          </w:p>
        </w:tc>
        <w:tc>
          <w:tcPr>
            <w:tcW w:type="dxa" w:w="5144"/>
            <w:tcBorders>
              <w:start w:sz="6.400000000000091" w:val="single" w:color="#DDDDDD"/>
              <w:top w:sz="6.400000000000091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2" w:after="0"/>
              <w:ind w:left="112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Scanning, access control verification, penetration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testing</w:t>
            </w:r>
          </w:p>
        </w:tc>
      </w:tr>
      <w:tr>
        <w:trPr>
          <w:trHeight w:hRule="exact" w:val="750"/>
        </w:trPr>
        <w:tc>
          <w:tcPr>
            <w:tcW w:type="dxa" w:w="2158"/>
            <w:tcBorders>
              <w:start w:sz="5.599999999999994" w:val="single" w:color="#DDDDDD"/>
              <w:top w:sz="5.600000000000364" w:val="single" w:color="#DDDDDD"/>
              <w:end w:sz="5.599999999999909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0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UAT</w:t>
            </w:r>
          </w:p>
        </w:tc>
        <w:tc>
          <w:tcPr>
            <w:tcW w:type="dxa" w:w="3692"/>
            <w:tcBorders>
              <w:start w:sz="5.599999999999909" w:val="single" w:color="#DDDDDD"/>
              <w:top w:sz="5.600000000000364" w:val="single" w:color="#DDDDDD"/>
              <w:end w:sz="6.400000000000091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0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Validate with end users</w:t>
            </w:r>
          </w:p>
        </w:tc>
        <w:tc>
          <w:tcPr>
            <w:tcW w:type="dxa" w:w="5144"/>
            <w:tcBorders>
              <w:start w:sz="6.400000000000091" w:val="single" w:color="#DDDDDD"/>
              <w:top w:sz="5.600000000000364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4" w:after="0"/>
              <w:ind w:left="112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Conducted with GA, CSIRO, ARDC, NRCan, State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Surveys</w:t>
            </w:r>
          </w:p>
        </w:tc>
      </w:tr>
    </w:tbl>
    <w:p>
      <w:pPr>
        <w:autoSpaceDN w:val="0"/>
        <w:autoSpaceDE w:val="0"/>
        <w:widowControl/>
        <w:spacing w:line="2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0.0" w:type="dxa"/>
      </w:tblPr>
      <w:tblGrid>
        <w:gridCol w:w="4509"/>
        <w:gridCol w:w="4509"/>
      </w:tblGrid>
      <w:tr>
        <w:trPr>
          <w:trHeight w:hRule="exact" w:val="3872"/>
        </w:trPr>
        <w:tc>
          <w:tcPr>
            <w:tcW w:type="dxa" w:w="210"/>
            <w:tcBorders>
              <w:top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7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8"/>
                <w:sz w:val="26"/>
              </w:rPr>
              <w:t>4.</w:t>
            </w:r>
          </w:p>
          <w:p>
            <w:pPr>
              <w:autoSpaceDN w:val="0"/>
              <w:autoSpaceDE w:val="0"/>
              <w:widowControl/>
              <w:spacing w:line="379" w:lineRule="auto" w:before="27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Lit </w:t>
            </w:r>
            <w:r>
              <w:rPr>
                <w:rFonts w:ascii="Arial" w:hAnsi="Arial" w:eastAsia="Arial"/>
                <w:b/>
                <w:i w:val="0"/>
                <w:color w:val="1F4E78"/>
                <w:sz w:val="22"/>
              </w:rPr>
              <w:t xml:space="preserve">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St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2"/>
              </w:rPr>
              <w:t>A</w:t>
            </w:r>
          </w:p>
          <w:p>
            <w:pPr>
              <w:autoSpaceDN w:val="0"/>
              <w:autoSpaceDE w:val="0"/>
              <w:widowControl/>
              <w:spacing w:line="240" w:lineRule="auto" w:before="20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800"/>
            <w:tcBorders>
              <w:top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74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6"/>
              </w:rPr>
              <w:t>4. Data Quality Assurance Methodologies</w:t>
            </w:r>
          </w:p>
          <w:p>
            <w:pPr>
              <w:autoSpaceDN w:val="0"/>
              <w:autoSpaceDE w:val="0"/>
              <w:widowControl/>
              <w:spacing w:line="350" w:lineRule="auto" w:before="278" w:after="0"/>
              <w:ind w:left="0" w:right="230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Lit hodat is a leader in scientific data quality frameworks, including: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2"/>
              </w:rPr>
              <w:t xml:space="preserve">S chema Validation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St rict enforcement of controlled vocabularies, units, data types, and metadata completeness.</w:t>
            </w:r>
          </w:p>
          <w:p>
            <w:pPr>
              <w:autoSpaceDN w:val="0"/>
              <w:autoSpaceDE w:val="0"/>
              <w:widowControl/>
              <w:spacing w:line="329" w:lineRule="auto" w:before="236" w:after="0"/>
              <w:ind w:left="300" w:right="2304" w:hanging="30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2"/>
              </w:rPr>
              <w:t xml:space="preserve">Automated QA/QC Pipelines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Outlier Detection: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Statistical identification of anomalous data points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Logical Consistency Checks: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Cross-field validation (e.g., chemistry + sample metadata)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Duplicate Identification: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Automated deduplication algorithms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Age-Model Validation: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Specialized thermochronology quality checks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38" w:right="0" w:bottom="34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7886700</wp:posOffset>
            </wp:positionV>
            <wp:extent cx="6997700" cy="9906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97700" cy="990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Cross-Field Validation: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Ensuring data integrity across related fields</w:t>
      </w:r>
    </w:p>
    <w:p>
      <w:pPr>
        <w:autoSpaceDN w:val="0"/>
        <w:autoSpaceDE w:val="0"/>
        <w:widowControl/>
        <w:spacing w:line="286" w:lineRule="auto" w:before="250" w:after="0"/>
        <w:ind w:left="2" w:right="2016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Provenance and Version Control </w:t>
      </w:r>
      <w:r>
        <w:br/>
      </w:r>
      <w:r>
        <w:rPr>
          <w:rFonts w:ascii="Arial" w:hAnsi="Arial" w:eastAsia="Arial"/>
          <w:b w:val="0"/>
          <w:i w:val="0"/>
          <w:color w:val="333333"/>
          <w:sz w:val="21"/>
        </w:rPr>
        <w:t>Full traceability of every data change, versioned record histories, and comprehensive audit logs.</w:t>
      </w:r>
    </w:p>
    <w:p>
      <w:pPr>
        <w:autoSpaceDN w:val="0"/>
        <w:autoSpaceDE w:val="0"/>
        <w:widowControl/>
        <w:spacing w:line="290" w:lineRule="auto" w:before="250" w:after="0"/>
        <w:ind w:left="2" w:right="72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Interoperability Across Agencies </w:t>
      </w:r>
      <w:r>
        <w:br/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Ensures compatibility between Geoscience Australia (GA), State Surveys, CSIRO, ANSTO, NMI, NRCan, and </w:t>
      </w:r>
      <w:r>
        <w:rPr>
          <w:rFonts w:ascii="Arial" w:hAnsi="Arial" w:eastAsia="Arial"/>
          <w:b w:val="0"/>
          <w:i w:val="0"/>
          <w:color w:val="333333"/>
          <w:sz w:val="21"/>
        </w:rPr>
        <w:t>international standards.</w:t>
      </w:r>
    </w:p>
    <w:p>
      <w:pPr>
        <w:autoSpaceDN w:val="0"/>
        <w:autoSpaceDE w:val="0"/>
        <w:widowControl/>
        <w:spacing w:line="233" w:lineRule="auto" w:before="56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5. Continuous Improvement Processes</w:t>
      </w:r>
    </w:p>
    <w:p>
      <w:pPr>
        <w:autoSpaceDN w:val="0"/>
        <w:autoSpaceDE w:val="0"/>
        <w:widowControl/>
        <w:spacing w:line="286" w:lineRule="auto" w:before="346" w:after="0"/>
        <w:ind w:left="2" w:right="4176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Agile Review Mechanism </w:t>
      </w:r>
      <w:r>
        <w:br/>
      </w:r>
      <w:r>
        <w:rPr>
          <w:rFonts w:ascii="Arial" w:hAnsi="Arial" w:eastAsia="Arial"/>
          <w:b w:val="0"/>
          <w:i w:val="0"/>
          <w:color w:val="333333"/>
          <w:sz w:val="21"/>
        </w:rPr>
        <w:t>Regular sprint reviews, retrospectives, and iterative improvement cycles.</w:t>
      </w:r>
    </w:p>
    <w:p>
      <w:pPr>
        <w:autoSpaceDN w:val="0"/>
        <w:autoSpaceDE w:val="0"/>
        <w:widowControl/>
        <w:spacing w:line="290" w:lineRule="auto" w:before="252" w:after="0"/>
        <w:ind w:left="2" w:right="864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Stakeholder Feedback </w:t>
      </w:r>
      <w:r>
        <w:br/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Workshops and alignment sessions with national partners including GA, State Surveys, NRCan, CSIRO, and </w:t>
      </w:r>
      <w:r>
        <w:rPr>
          <w:rFonts w:ascii="Arial" w:hAnsi="Arial" w:eastAsia="Arial"/>
          <w:b w:val="0"/>
          <w:i w:val="0"/>
          <w:color w:val="333333"/>
          <w:sz w:val="21"/>
        </w:rPr>
        <w:t>universities.</w:t>
      </w:r>
    </w:p>
    <w:p>
      <w:pPr>
        <w:autoSpaceDN w:val="0"/>
        <w:autoSpaceDE w:val="0"/>
        <w:widowControl/>
        <w:spacing w:line="233" w:lineRule="auto" w:before="25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Monitoring &amp; Alerting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08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AWS CloudWatch metrics for real-time performance monitoring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Automated failure alerts for immediate incident response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Continuous performance tuning and optimization</w:t>
      </w:r>
    </w:p>
    <w:p>
      <w:pPr>
        <w:autoSpaceDN w:val="0"/>
        <w:autoSpaceDE w:val="0"/>
        <w:widowControl/>
        <w:spacing w:line="286" w:lineRule="auto" w:before="250" w:after="0"/>
        <w:ind w:left="2" w:right="3024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Post-Deployment Review </w:t>
      </w:r>
      <w:r>
        <w:br/>
      </w:r>
      <w:r>
        <w:rPr>
          <w:rFonts w:ascii="Arial" w:hAnsi="Arial" w:eastAsia="Arial"/>
          <w:b w:val="0"/>
          <w:i w:val="0"/>
          <w:color w:val="333333"/>
          <w:sz w:val="21"/>
        </w:rPr>
        <w:t>Formal lessons-learned analysis and process optimization following each deployment.</w:t>
      </w:r>
    </w:p>
    <w:p>
      <w:pPr>
        <w:autoSpaceDN w:val="0"/>
        <w:autoSpaceDE w:val="0"/>
        <w:widowControl/>
        <w:spacing w:line="235" w:lineRule="auto" w:before="57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6. Quality Certificates Held</w:t>
      </w:r>
    </w:p>
    <w:p>
      <w:pPr>
        <w:autoSpaceDN w:val="0"/>
        <w:autoSpaceDE w:val="0"/>
        <w:widowControl/>
        <w:spacing w:line="293" w:lineRule="auto" w:before="330" w:after="0"/>
        <w:ind w:left="2" w:right="1152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CoreTrustSeal (CTS) – Certified Trusted Scientific Repository </w:t>
      </w:r>
      <w:r>
        <w:br/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Lithodat is officially </w:t>
      </w:r>
      <w:r>
        <w:rPr>
          <w:rFonts w:ascii="Arial" w:hAnsi="Arial" w:eastAsia="Arial"/>
          <w:b/>
          <w:i w:val="0"/>
          <w:color w:val="1F4E78"/>
          <w:sz w:val="21"/>
        </w:rPr>
        <w:t>CoreTrustSeal certified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through the EarthBank (AusGeochem) repository, validating: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7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Trusted long-term data stewardship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FAIR data adherence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Sustainable governance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Robust data integrity and QA/QC systems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Compliance with international repository standards</w:t>
      </w:r>
    </w:p>
    <w:p>
      <w:pPr>
        <w:autoSpaceDN w:val="0"/>
        <w:autoSpaceDE w:val="0"/>
        <w:widowControl/>
        <w:spacing w:line="233" w:lineRule="auto" w:before="168" w:after="386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8"/>
        </w:rPr>
        <w:t>Verification:</w:t>
      </w:r>
      <w:r>
        <w:rPr>
          <w:rFonts w:ascii="Arial" w:hAnsi="Arial" w:eastAsia="Arial"/>
          <w:b w:val="0"/>
          <w:i w:val="0"/>
          <w:color w:val="1F4E78"/>
          <w:sz w:val="18"/>
          <w:u w:val="single"/>
        </w:rPr>
        <w:hyperlink r:id="rId18" w:history="1">
          <w:r>
            <w:rPr>
              <w:rStyle w:val="Hyperlink"/>
            </w:rPr>
            <w:t>re3data.org - AuScope EarthBank Platform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0.0" w:type="dxa"/>
      </w:tblPr>
      <w:tblGrid>
        <w:gridCol w:w="3676"/>
        <w:gridCol w:w="3676"/>
        <w:gridCol w:w="3676"/>
      </w:tblGrid>
      <w:tr>
        <w:trPr>
          <w:trHeight w:hRule="exact" w:val="356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3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0B981"/>
                <w:sz w:val="21"/>
              </w:rPr>
              <w:t>CoreTrustSeal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95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0B981"/>
                <w:sz w:val="21"/>
              </w:rPr>
              <w:t>World Data System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4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0B981"/>
                <w:sz w:val="21"/>
              </w:rPr>
              <w:t>AWS Compliance</w:t>
            </w:r>
          </w:p>
        </w:tc>
      </w:tr>
    </w:tbl>
    <w:p>
      <w:pPr>
        <w:autoSpaceDN w:val="0"/>
        <w:autoSpaceDE w:val="0"/>
        <w:widowControl/>
        <w:spacing w:line="233" w:lineRule="auto" w:before="318" w:after="20"/>
        <w:ind w:left="0" w:right="1116" w:firstLine="0"/>
        <w:jc w:val="right"/>
      </w:pPr>
      <w:r>
        <w:rPr>
          <w:rFonts w:ascii="Arial" w:hAnsi="Arial" w:eastAsia="Arial"/>
          <w:b w:val="0"/>
          <w:i w:val="0"/>
          <w:color w:val="059669"/>
          <w:sz w:val="18"/>
        </w:rPr>
        <w:t>ISO 27001/17/18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0.0" w:type="dxa"/>
      </w:tblPr>
      <w:tblGrid>
        <w:gridCol w:w="3676"/>
        <w:gridCol w:w="3676"/>
        <w:gridCol w:w="3676"/>
      </w:tblGrid>
      <w:tr>
        <w:trPr>
          <w:trHeight w:hRule="exact" w:val="28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67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59669"/>
                <w:sz w:val="18"/>
              </w:rPr>
              <w:t>Since 2023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98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59669"/>
                <w:sz w:val="18"/>
              </w:rPr>
              <w:t>WDS Regular Member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46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59669"/>
                <w:sz w:val="18"/>
              </w:rPr>
              <w:t>SOC 1/2/3, PCI-DSS</w:t>
            </w:r>
          </w:p>
        </w:tc>
      </w:tr>
    </w:tbl>
    <w:p>
      <w:pPr>
        <w:autoSpaceDN w:val="0"/>
        <w:autoSpaceDE w:val="0"/>
        <w:widowControl/>
        <w:spacing w:line="290" w:lineRule="auto" w:before="392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World Data System (WDS) </w:t>
      </w:r>
      <w:r>
        <w:br/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EarthBank/AusGeochem is recognized as a </w:t>
      </w:r>
      <w:r>
        <w:rPr>
          <w:rFonts w:ascii="Arial" w:hAnsi="Arial" w:eastAsia="Arial"/>
          <w:b/>
          <w:i w:val="0"/>
          <w:color w:val="1F4E78"/>
          <w:sz w:val="21"/>
        </w:rPr>
        <w:t>WDS Regular Member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, part of the International Science Council. WDS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uses CoreTrustSeal certification as its membership standard, and EarthBank was featured as a </w:t>
      </w:r>
      <w:r>
        <w:rPr>
          <w:rFonts w:ascii="Arial" w:hAnsi="Arial" w:eastAsia="Arial"/>
          <w:b w:val="0"/>
          <w:i w:val="0"/>
          <w:color w:val="1F4E78"/>
          <w:sz w:val="21"/>
          <w:u w:val="single"/>
        </w:rPr>
        <w:hyperlink r:id="rId19" w:history="1">
          <w:r>
            <w:rPr>
              <w:rStyle w:val="Hyperlink"/>
            </w:rPr>
            <w:t>Member Highlight</w:t>
          </w:r>
        </w:hyperlink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by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WDS for excellence in scientific data stewardship. This demonstrates compliance with global standards for trusted </w:t>
      </w:r>
      <w:r>
        <w:rPr>
          <w:rFonts w:ascii="Arial" w:hAnsi="Arial" w:eastAsia="Arial"/>
          <w:b w:val="0"/>
          <w:i w:val="0"/>
          <w:color w:val="333333"/>
          <w:sz w:val="21"/>
        </w:rPr>
        <w:t>scientific data infrastructures.</w:t>
      </w:r>
    </w:p>
    <w:p>
      <w:pPr>
        <w:autoSpaceDN w:val="0"/>
        <w:autoSpaceDE w:val="0"/>
        <w:widowControl/>
        <w:spacing w:line="233" w:lineRule="auto" w:before="18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8"/>
        </w:rPr>
        <w:t>Additional Information:</w:t>
      </w:r>
      <w:r>
        <w:rPr>
          <w:rFonts w:ascii="Arial" w:hAnsi="Arial" w:eastAsia="Arial"/>
          <w:b w:val="0"/>
          <w:i w:val="0"/>
          <w:color w:val="1F4E78"/>
          <w:sz w:val="18"/>
          <w:u w:val="single"/>
        </w:rPr>
        <w:hyperlink r:id="rId20" w:history="1">
          <w:r>
            <w:rPr>
              <w:rStyle w:val="Hyperlink"/>
            </w:rPr>
            <w:t>CoreTrustSeal &amp; WDS Partnership</w:t>
          </w:r>
        </w:hyperlink>
      </w:r>
    </w:p>
    <w:p>
      <w:pPr>
        <w:sectPr>
          <w:pgSz w:w="11899" w:h="16838"/>
          <w:pgMar w:top="348" w:right="420" w:bottom="406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AWS Cloud Security and Compliance (Inherited Controls)</w:t>
      </w:r>
    </w:p>
    <w:p>
      <w:pPr>
        <w:autoSpaceDN w:val="0"/>
        <w:autoSpaceDE w:val="0"/>
        <w:widowControl/>
        <w:spacing w:line="233" w:lineRule="auto" w:before="124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Lithodat operates exclusively on </w:t>
      </w:r>
      <w:r>
        <w:rPr>
          <w:rFonts w:ascii="Arial" w:hAnsi="Arial" w:eastAsia="Arial"/>
          <w:b/>
          <w:i w:val="0"/>
          <w:color w:val="1F4E78"/>
          <w:sz w:val="21"/>
        </w:rPr>
        <w:t>Amazon Web Services</w:t>
      </w:r>
      <w:r>
        <w:rPr>
          <w:rFonts w:ascii="Arial" w:hAnsi="Arial" w:eastAsia="Arial"/>
          <w:b w:val="0"/>
          <w:i w:val="0"/>
          <w:color w:val="333333"/>
          <w:sz w:val="21"/>
        </w:rPr>
        <w:t>, inheriting all AWS security certifications and controls,</w:t>
      </w:r>
    </w:p>
    <w:p>
      <w:pPr>
        <w:autoSpaceDN w:val="0"/>
        <w:autoSpaceDE w:val="0"/>
        <w:widowControl/>
        <w:spacing w:line="235" w:lineRule="auto" w:before="5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including: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8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ISO 27001 (Information Security)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ISO 27017 (Cloud Security)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ISO 27018 (Cloud Privacy)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SOC 1 / SOC 2 / SOC 3 compliance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PCI-DSS compliance (where applicable)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CSA STAR Level 2</w:t>
      </w:r>
    </w:p>
    <w:p>
      <w:pPr>
        <w:autoSpaceDN w:val="0"/>
        <w:autoSpaceDE w:val="0"/>
        <w:widowControl/>
        <w:spacing w:line="233" w:lineRule="auto" w:before="17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AWS provides: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8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World-class physical and cyber security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Encryption by default (at rest and in transit)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24/7 monitored data centres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Continuously audited infrastructure</w:t>
      </w:r>
    </w:p>
    <w:p>
      <w:pPr>
        <w:autoSpaceDN w:val="0"/>
        <w:autoSpaceDE w:val="0"/>
        <w:widowControl/>
        <w:spacing w:line="233" w:lineRule="auto" w:before="17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Lithodat's platform therefore benefits from </w:t>
      </w:r>
      <w:r>
        <w:rPr>
          <w:rFonts w:ascii="Arial" w:hAnsi="Arial" w:eastAsia="Arial"/>
          <w:b/>
          <w:i w:val="0"/>
          <w:color w:val="1F4E78"/>
          <w:sz w:val="21"/>
        </w:rPr>
        <w:t>enterprise-grade, internationally certified security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as part of its</w:t>
      </w:r>
    </w:p>
    <w:p>
      <w:pPr>
        <w:autoSpaceDN w:val="0"/>
        <w:autoSpaceDE w:val="0"/>
        <w:widowControl/>
        <w:spacing w:line="233" w:lineRule="auto" w:before="66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operational environment.</w:t>
      </w:r>
    </w:p>
    <w:p>
      <w:pPr>
        <w:autoSpaceDN w:val="0"/>
        <w:autoSpaceDE w:val="0"/>
        <w:widowControl/>
        <w:spacing w:line="235" w:lineRule="auto" w:before="56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7. Organizational Structure: "Geology First" Approach</w:t>
      </w:r>
    </w:p>
    <w:p>
      <w:pPr>
        <w:autoSpaceDN w:val="0"/>
        <w:autoSpaceDE w:val="0"/>
        <w:widowControl/>
        <w:spacing w:line="235" w:lineRule="auto" w:before="27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Lithodat's organizational structure is built on a </w:t>
      </w:r>
      <w:r>
        <w:rPr>
          <w:rFonts w:ascii="Arial" w:hAnsi="Arial" w:eastAsia="Arial"/>
          <w:b/>
          <w:i w:val="0"/>
          <w:color w:val="1F4E78"/>
          <w:sz w:val="21"/>
        </w:rPr>
        <w:t>"Geology First"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philosophy—ensuring that qualified geologists are</w:t>
      </w:r>
    </w:p>
    <w:p>
      <w:pPr>
        <w:autoSpaceDN w:val="0"/>
        <w:autoSpaceDE w:val="0"/>
        <w:widowControl/>
        <w:spacing w:line="233" w:lineRule="auto" w:before="5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embedded throughout the organization at all levels. This approach guarantees that scientific accuracy, geological</w:t>
      </w:r>
    </w:p>
    <w:p>
      <w:pPr>
        <w:autoSpaceDN w:val="0"/>
        <w:autoSpaceDE w:val="0"/>
        <w:widowControl/>
        <w:spacing w:line="233" w:lineRule="auto" w:before="66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understanding, and domain expertise drive every decision from executive strategy to day-to-day quality control.</w:t>
      </w:r>
    </w:p>
    <w:p>
      <w:pPr>
        <w:autoSpaceDN w:val="0"/>
        <w:autoSpaceDE w:val="0"/>
        <w:widowControl/>
        <w:spacing w:line="233" w:lineRule="auto" w:before="23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Geologists Throughout the Business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Executive Leadership: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Dr. Fabian Kohlmann (CEO) and Dr. Qusay Abeed (Geological Director) bring geological</w:t>
      </w:r>
    </w:p>
    <w:p>
      <w:pPr>
        <w:autoSpaceDN w:val="0"/>
        <w:autoSpaceDE w:val="0"/>
        <w:widowControl/>
        <w:spacing w:line="233" w:lineRule="auto" w:before="66" w:after="0"/>
        <w:ind w:left="30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expertise to strategic decision-making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Quality Management: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Juan Baca (Quality Manager) with geological background oversees all QA/QC processes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Geological Quality Team: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Three dedicated geologists (Dr. Alejandra Bedoya, Perla Luque, Cris Ibarra) ensure</w:t>
      </w:r>
    </w:p>
    <w:p>
      <w:pPr>
        <w:autoSpaceDN w:val="0"/>
        <w:autoSpaceDE w:val="0"/>
        <w:widowControl/>
        <w:spacing w:line="233" w:lineRule="auto" w:before="50" w:after="0"/>
        <w:ind w:left="30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scientific data accuracy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AI/ML Development: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Dr. Behnam Sadeghi (Geological ML Technical Advisor) ensures algorithms respect</w:t>
      </w:r>
    </w:p>
    <w:p>
      <w:pPr>
        <w:autoSpaceDN w:val="0"/>
        <w:autoSpaceDE w:val="0"/>
        <w:widowControl/>
        <w:spacing w:line="233" w:lineRule="auto" w:before="66" w:after="0"/>
        <w:ind w:left="30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geological principles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Technical Advisory: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Geologists integrated into development teams to validate data models and workflows</w:t>
      </w:r>
    </w:p>
    <w:p>
      <w:pPr>
        <w:autoSpaceDN w:val="0"/>
        <w:autoSpaceDE w:val="0"/>
        <w:widowControl/>
        <w:spacing w:line="235" w:lineRule="auto" w:before="184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This "Geology First" approach ensures that: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7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Data models are scientifically sound and reflect real geological relationships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Quality control processes are designed by geologists who understand the data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Product development prioritizes scientific accuracy over technical convenience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Client communication is led by geologists who speak the language of geoscience</w:t>
      </w:r>
    </w:p>
    <w:p>
      <w:pPr>
        <w:autoSpaceDN w:val="0"/>
        <w:autoSpaceDE w:val="0"/>
        <w:widowControl/>
        <w:spacing w:line="233" w:lineRule="auto" w:before="250" w:after="9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Key Quality-Related 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676"/>
        <w:gridCol w:w="3676"/>
        <w:gridCol w:w="3676"/>
      </w:tblGrid>
      <w:tr>
        <w:trPr>
          <w:trHeight w:hRule="exact" w:val="480"/>
        </w:trPr>
        <w:tc>
          <w:tcPr>
            <w:tcW w:type="dxa" w:w="2234"/>
            <w:tcBorders>
              <w:start w:sz="5.599999999999994" w:val="single" w:color="#DDDDDD"/>
              <w:top w:sz="5.600000000000364" w:val="single" w:color="#DDDDDD"/>
              <w:end w:sz="6.400000000000091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Role</w:t>
            </w:r>
          </w:p>
        </w:tc>
        <w:tc>
          <w:tcPr>
            <w:tcW w:type="dxa" w:w="1936"/>
            <w:tcBorders>
              <w:start w:sz="6.400000000000091" w:val="single" w:color="#DDDDDD"/>
              <w:top w:sz="5.600000000000364" w:val="single" w:color="#DDDDDD"/>
              <w:end w:sz="6.400000000000091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Name</w:t>
            </w:r>
          </w:p>
        </w:tc>
        <w:tc>
          <w:tcPr>
            <w:tcW w:type="dxa" w:w="6824"/>
            <w:tcBorders>
              <w:start w:sz="6.400000000000091" w:val="single" w:color="#DDDDDD"/>
              <w:top w:sz="5.600000000000364" w:val="single" w:color="#DDDDDD"/>
              <w:end w:sz="6.399999999999636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Quality Responsibility</w:t>
            </w:r>
          </w:p>
        </w:tc>
      </w:tr>
      <w:tr>
        <w:trPr>
          <w:trHeight w:hRule="exact" w:val="750"/>
        </w:trPr>
        <w:tc>
          <w:tcPr>
            <w:tcW w:type="dxa" w:w="2234"/>
            <w:tcBorders>
              <w:start w:sz="5.599999999999994" w:val="single" w:color="#DDDDDD"/>
              <w:top w:sz="5.600000000000364" w:val="single" w:color="#DDDDDD"/>
              <w:end w:sz="6.400000000000091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Quality Manager</w:t>
            </w:r>
          </w:p>
        </w:tc>
        <w:tc>
          <w:tcPr>
            <w:tcW w:type="dxa" w:w="1936"/>
            <w:tcBorders>
              <w:start w:sz="6.400000000000091" w:val="single" w:color="#DDDDDD"/>
              <w:top w:sz="5.600000000000364" w:val="single" w:color="#DDDDDD"/>
              <w:end w:sz="6.400000000000091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Juan Baca</w:t>
            </w:r>
          </w:p>
        </w:tc>
        <w:tc>
          <w:tcPr>
            <w:tcW w:type="dxa" w:w="6824"/>
            <w:tcBorders>
              <w:start w:sz="6.400000000000091" w:val="single" w:color="#DDDDDD"/>
              <w:top w:sz="5.600000000000364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4" w:after="0"/>
              <w:ind w:left="120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Reports to Geological Director, oversees geological quality team and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QA/QC processes</w:t>
            </w:r>
          </w:p>
        </w:tc>
      </w:tr>
      <w:tr>
        <w:trPr>
          <w:trHeight w:hRule="exact" w:val="460"/>
        </w:trPr>
        <w:tc>
          <w:tcPr>
            <w:tcW w:type="dxa" w:w="2234"/>
            <w:tcBorders>
              <w:start w:sz="5.599999999999994" w:val="single" w:color="#DDDDDD"/>
              <w:top w:sz="6.399999999999636" w:val="single" w:color="#DDDDDD"/>
              <w:end w:sz="6.400000000000091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Geological Director</w:t>
            </w:r>
          </w:p>
        </w:tc>
        <w:tc>
          <w:tcPr>
            <w:tcW w:type="dxa" w:w="1936"/>
            <w:tcBorders>
              <w:start w:sz="6.400000000000091" w:val="single" w:color="#DDDDDD"/>
              <w:top w:sz="6.399999999999636" w:val="single" w:color="#DDDDDD"/>
              <w:end w:sz="6.400000000000091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Dr. Qusay Abeed</w:t>
            </w:r>
          </w:p>
        </w:tc>
        <w:tc>
          <w:tcPr>
            <w:tcW w:type="dxa" w:w="6824"/>
            <w:tcBorders>
              <w:start w:sz="6.400000000000091" w:val="single" w:color="#DDDDDD"/>
              <w:top w:sz="6.399999999999636" w:val="single" w:color="#DDDDDD"/>
              <w:end w:sz="6.399999999999636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Strategic oversight of scientific data quality and geological standards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50" w:right="420" w:bottom="59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8.0" w:type="dxa"/>
      </w:tblPr>
      <w:tblGrid>
        <w:gridCol w:w="3006"/>
        <w:gridCol w:w="3006"/>
        <w:gridCol w:w="3006"/>
      </w:tblGrid>
      <w:tr>
        <w:trPr>
          <w:trHeight w:hRule="exact" w:val="480"/>
        </w:trPr>
        <w:tc>
          <w:tcPr>
            <w:tcW w:type="dxa" w:w="2234"/>
            <w:tcBorders>
              <w:start w:sz="5.599999999999994" w:val="single" w:color="#DDDDDD"/>
              <w:top w:sz="5.600000000000023" w:val="single" w:color="#DDDDDD"/>
              <w:end w:sz="6.400000000000091" w:val="single" w:color="#DDDDDD"/>
              <w:bottom w:sz="5.600000000000023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Role</w:t>
            </w:r>
          </w:p>
        </w:tc>
        <w:tc>
          <w:tcPr>
            <w:tcW w:type="dxa" w:w="1936"/>
            <w:tcBorders>
              <w:start w:sz="6.400000000000091" w:val="single" w:color="#DDDDDD"/>
              <w:top w:sz="5.600000000000023" w:val="single" w:color="#DDDDDD"/>
              <w:end w:sz="6.400000000000091" w:val="single" w:color="#DDDDDD"/>
              <w:bottom w:sz="5.600000000000023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Name</w:t>
            </w:r>
          </w:p>
        </w:tc>
        <w:tc>
          <w:tcPr>
            <w:tcW w:type="dxa" w:w="6824"/>
            <w:tcBorders>
              <w:start w:sz="6.400000000000091" w:val="single" w:color="#DDDDDD"/>
              <w:top w:sz="5.600000000000023" w:val="single" w:color="#DDDDDD"/>
              <w:end w:sz="6.399999999999636" w:val="single" w:color="#DDDDDD"/>
              <w:bottom w:sz="5.600000000000023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Quality Responsibility</w:t>
            </w:r>
          </w:p>
        </w:tc>
      </w:tr>
      <w:tr>
        <w:trPr>
          <w:trHeight w:hRule="exact" w:val="750"/>
        </w:trPr>
        <w:tc>
          <w:tcPr>
            <w:tcW w:type="dxa" w:w="2234"/>
            <w:tcBorders>
              <w:start w:sz="5.599999999999994" w:val="single" w:color="#DDDDDD"/>
              <w:top w:sz="5.600000000000023" w:val="single" w:color="#DDDDDD"/>
              <w:end w:sz="6.400000000000091" w:val="single" w:color="#DDDDDD"/>
              <w:bottom w:sz="6.39999999999997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4" w:after="0"/>
              <w:ind w:left="124" w:right="86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 xml:space="preserve">Head of Data </w:t>
            </w: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Security</w:t>
            </w:r>
          </w:p>
        </w:tc>
        <w:tc>
          <w:tcPr>
            <w:tcW w:type="dxa" w:w="1936"/>
            <w:tcBorders>
              <w:start w:sz="6.400000000000091" w:val="single" w:color="#DDDDDD"/>
              <w:top w:sz="5.600000000000023" w:val="single" w:color="#DDDDDD"/>
              <w:end w:sz="6.400000000000091" w:val="single" w:color="#DDDDDD"/>
              <w:bottom w:sz="6.39999999999997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Vinko Novak</w:t>
            </w:r>
          </w:p>
        </w:tc>
        <w:tc>
          <w:tcPr>
            <w:tcW w:type="dxa" w:w="6824"/>
            <w:tcBorders>
              <w:start w:sz="6.400000000000091" w:val="single" w:color="#DDDDDD"/>
              <w:top w:sz="5.600000000000023" w:val="single" w:color="#DDDDDD"/>
              <w:end w:sz="6.399999999999636" w:val="single" w:color="#DDDDDD"/>
              <w:bottom w:sz="6.39999999999997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Data integrity, governance, and security protocols</w:t>
            </w:r>
          </w:p>
        </w:tc>
      </w:tr>
      <w:tr>
        <w:trPr>
          <w:trHeight w:hRule="exact" w:val="752"/>
        </w:trPr>
        <w:tc>
          <w:tcPr>
            <w:tcW w:type="dxa" w:w="2234"/>
            <w:tcBorders>
              <w:start w:sz="5.599999999999994" w:val="single" w:color="#DDDDDD"/>
              <w:top w:sz="6.399999999999977" w:val="single" w:color="#DDDDDD"/>
              <w:end w:sz="6.400000000000091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4" w:after="0"/>
              <w:ind w:left="124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 xml:space="preserve">Head of Cyber </w:t>
            </w: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Defence</w:t>
            </w:r>
          </w:p>
        </w:tc>
        <w:tc>
          <w:tcPr>
            <w:tcW w:type="dxa" w:w="1936"/>
            <w:tcBorders>
              <w:start w:sz="6.400000000000091" w:val="single" w:color="#DDDDDD"/>
              <w:top w:sz="6.399999999999977" w:val="single" w:color="#DDDDDD"/>
              <w:end w:sz="6.400000000000091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Annemarie Grass</w:t>
            </w:r>
          </w:p>
        </w:tc>
        <w:tc>
          <w:tcPr>
            <w:tcW w:type="dxa" w:w="6824"/>
            <w:tcBorders>
              <w:start w:sz="6.400000000000091" w:val="single" w:color="#DDDDDD"/>
              <w:top w:sz="6.399999999999977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Information security and cyber threat protection</w:t>
            </w:r>
          </w:p>
        </w:tc>
      </w:tr>
      <w:tr>
        <w:trPr>
          <w:trHeight w:hRule="exact" w:val="764"/>
        </w:trPr>
        <w:tc>
          <w:tcPr>
            <w:tcW w:type="dxa" w:w="2234"/>
            <w:tcBorders>
              <w:start w:sz="5.599999999999994" w:val="single" w:color="#DDDDDD"/>
              <w:top w:sz="5.599999999999909" w:val="single" w:color="#DDDDDD"/>
              <w:end w:sz="6.400000000000091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4" w:after="0"/>
              <w:ind w:left="124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 xml:space="preserve">Geological ML </w:t>
            </w: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Advisor</w:t>
            </w:r>
          </w:p>
        </w:tc>
        <w:tc>
          <w:tcPr>
            <w:tcW w:type="dxa" w:w="1936"/>
            <w:tcBorders>
              <w:start w:sz="6.400000000000091" w:val="single" w:color="#DDDDDD"/>
              <w:top w:sz="5.599999999999909" w:val="single" w:color="#DDDDDD"/>
              <w:end w:sz="6.400000000000091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4" w:after="0"/>
              <w:ind w:left="118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Dr. Behnam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Sadeghi</w:t>
            </w:r>
          </w:p>
        </w:tc>
        <w:tc>
          <w:tcPr>
            <w:tcW w:type="dxa" w:w="6824"/>
            <w:tcBorders>
              <w:start w:sz="6.400000000000091" w:val="single" w:color="#DDDDDD"/>
              <w:top w:sz="5.599999999999909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Algorithm quality assurance and ML validation</w:t>
            </w:r>
          </w:p>
        </w:tc>
      </w:tr>
    </w:tbl>
    <w:p>
      <w:pPr>
        <w:autoSpaceDN w:val="0"/>
        <w:autoSpaceDE w:val="0"/>
        <w:widowControl/>
        <w:spacing w:line="233" w:lineRule="auto" w:before="204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Specialized Quality Teams (Geology-Integrated)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08" w:after="0"/>
        <w:ind w:left="520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Geological Quality Team: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Three full-time geologists (Dr. Alejandra Bedoya, Perla Luque, Cris Ibarra) dedicated to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scientific data accuracy, validation, and quality control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10" w:after="0"/>
        <w:ind w:left="520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AI Specialist Team: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Led by Dr. Behnam Sadeghi (Geological ML Technical Advisor) ensuring algorithms respect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geological principles and produce scientifically valid results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26" w:after="0"/>
        <w:ind w:left="520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Data &amp; Cyber Security Team: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Works with geologists to ensure data integrity and scientific provenance throughout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security protocols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24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External Support: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Legal and accounting consultants for compliance oversight</w:t>
      </w:r>
    </w:p>
    <w:p>
      <w:pPr>
        <w:autoSpaceDN w:val="0"/>
        <w:autoSpaceDE w:val="0"/>
        <w:widowControl/>
        <w:spacing w:line="271" w:lineRule="auto" w:before="230" w:after="0"/>
        <w:ind w:left="452" w:right="720" w:firstLine="0"/>
        <w:jc w:val="left"/>
      </w:pPr>
      <w:r>
        <w:rPr>
          <w:rFonts w:ascii="Arial" w:hAnsi="Arial" w:eastAsia="Arial"/>
          <w:b w:val="0"/>
          <w:i/>
          <w:color w:val="666666"/>
          <w:sz w:val="21"/>
        </w:rPr>
        <w:t xml:space="preserve">Unlike purely technical companies, Lithodat's "Geology First" approach means geologists are not just end users or </w:t>
      </w:r>
      <w:r>
        <w:rPr>
          <w:rFonts w:ascii="Arial" w:hAnsi="Arial" w:eastAsia="Arial"/>
          <w:b w:val="0"/>
          <w:i/>
          <w:color w:val="666666"/>
          <w:sz w:val="21"/>
        </w:rPr>
        <w:t xml:space="preserve">consultants—they are core team members driving quality standards, data validation, and product development at </w:t>
      </w:r>
      <w:r>
        <w:rPr>
          <w:rFonts w:ascii="Arial" w:hAnsi="Arial" w:eastAsia="Arial"/>
          <w:b w:val="0"/>
          <w:i/>
          <w:color w:val="666666"/>
          <w:sz w:val="21"/>
        </w:rPr>
        <w:t>every level.</w:t>
      </w:r>
    </w:p>
    <w:p>
      <w:pPr>
        <w:autoSpaceDN w:val="0"/>
        <w:autoSpaceDE w:val="0"/>
        <w:widowControl/>
        <w:spacing w:line="281" w:lineRule="auto" w:before="734" w:after="0"/>
        <w:ind w:left="738" w:right="576" w:firstLine="0"/>
        <w:jc w:val="left"/>
      </w:pPr>
      <w:r>
        <w:rPr>
          <w:rFonts w:ascii="Arial" w:hAnsi="Arial" w:eastAsia="Arial"/>
          <w:b/>
          <w:i w:val="0"/>
          <w:color w:val="10B981"/>
          <w:sz w:val="20"/>
        </w:rPr>
        <w:t>Quality Management System Summary: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 Lithodat maintains strong quality assurance, security, and scientific data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management processes, supported by our </w:t>
      </w:r>
      <w:r>
        <w:rPr>
          <w:rFonts w:ascii="Arial" w:hAnsi="Arial" w:eastAsia="Arial"/>
          <w:b/>
          <w:i w:val="0"/>
          <w:color w:val="10B981"/>
          <w:sz w:val="20"/>
        </w:rPr>
        <w:t>"Geology First"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 organizational philosophy, ISO-aligned internal processes,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CoreTrustSeal certification, World Data System recognition, AWS-certified infrastructure security, robust QA/QC testing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and validation workflows, and geologists embedded throughout our business at all levels. These combined systems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ensure Lithodat can deliver a </w:t>
      </w:r>
      <w:r>
        <w:rPr>
          <w:rFonts w:ascii="Arial" w:hAnsi="Arial" w:eastAsia="Arial"/>
          <w:b/>
          <w:i w:val="0"/>
          <w:color w:val="10B981"/>
          <w:sz w:val="20"/>
        </w:rPr>
        <w:t>secure, reliable, scientifically accurate, high-quality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 geoscience AI platform to meet </w:t>
      </w:r>
      <w:r>
        <w:rPr>
          <w:rFonts w:ascii="Arial" w:hAnsi="Arial" w:eastAsia="Arial"/>
          <w:b w:val="0"/>
          <w:i w:val="0"/>
          <w:color w:val="333333"/>
          <w:sz w:val="20"/>
        </w:rPr>
        <w:t>GDAC-SA requirements.</w:t>
      </w:r>
    </w:p>
    <w:p>
      <w:pPr>
        <w:autoSpaceDN w:val="0"/>
        <w:autoSpaceDE w:val="0"/>
        <w:widowControl/>
        <w:spacing w:line="271" w:lineRule="auto" w:before="742" w:after="0"/>
        <w:ind w:left="452" w:right="9216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 xml:space="preserve">Dr. Fabian Kohlmann </w:t>
      </w:r>
      <w:r>
        <w:br/>
      </w:r>
      <w:r>
        <w:rPr>
          <w:rFonts w:ascii="Arial" w:hAnsi="Arial" w:eastAsia="Arial"/>
          <w:b w:val="0"/>
          <w:i w:val="0"/>
          <w:color w:val="666666"/>
          <w:sz w:val="19"/>
        </w:rPr>
        <w:t xml:space="preserve">Chief Executive Officer </w:t>
      </w:r>
      <w:r>
        <w:br/>
      </w:r>
      <w:r>
        <w:rPr>
          <w:rFonts w:ascii="Arial" w:hAnsi="Arial" w:eastAsia="Arial"/>
          <w:b w:val="0"/>
          <w:i w:val="0"/>
          <w:color w:val="454545"/>
          <w:sz w:val="18"/>
        </w:rPr>
        <w:t>December 2024</w:t>
      </w:r>
    </w:p>
    <w:p>
      <w:pPr>
        <w:autoSpaceDN w:val="0"/>
        <w:autoSpaceDE w:val="0"/>
        <w:widowControl/>
        <w:spacing w:line="274" w:lineRule="auto" w:before="550" w:after="0"/>
        <w:ind w:left="452" w:right="8208" w:firstLine="0"/>
        <w:jc w:val="left"/>
      </w:pPr>
      <w:r>
        <w:rPr>
          <w:rFonts w:ascii="Arial" w:hAnsi="Arial" w:eastAsia="Arial"/>
          <w:b/>
          <w:i w:val="0"/>
          <w:color w:val="1F4E78"/>
          <w:sz w:val="18"/>
        </w:rPr>
        <w:t>Lithodat Pty Ltd</w:t>
      </w:r>
      <w:r>
        <w:rPr>
          <w:rFonts w:ascii="Arial" w:hAnsi="Arial" w:eastAsia="Arial"/>
          <w:b w:val="0"/>
          <w:i w:val="0"/>
          <w:color w:val="666666"/>
          <w:sz w:val="18"/>
        </w:rPr>
        <w:t xml:space="preserve"> | ABN: 48 647 191 452 </w:t>
      </w:r>
      <w:r>
        <w:br/>
      </w:r>
      <w:r>
        <w:rPr>
          <w:rFonts w:ascii="Arial" w:hAnsi="Arial" w:eastAsia="Arial"/>
          <w:b w:val="0"/>
          <w:i w:val="0"/>
          <w:color w:val="666666"/>
          <w:sz w:val="18"/>
        </w:rPr>
        <w:t xml:space="preserve">Website: </w:t>
      </w:r>
      <w:r>
        <w:rPr>
          <w:rFonts w:ascii="Arial" w:hAnsi="Arial" w:eastAsia="Arial"/>
          <w:b w:val="0"/>
          <w:i w:val="0"/>
          <w:color w:val="1F4E78"/>
          <w:sz w:val="18"/>
          <w:u w:val="single"/>
        </w:rPr>
        <w:hyperlink r:id="rId22" w:history="1">
          <w:r>
            <w:rPr>
              <w:rStyle w:val="Hyperlink"/>
            </w:rPr>
            <w:t xml:space="preserve">https://lithodat.com </w:t>
          </w:r>
        </w:hyperlink>
      </w:r>
      <w:r>
        <w:br/>
      </w:r>
      <w:r>
        <w:rPr>
          <w:rFonts w:ascii="Arial" w:hAnsi="Arial" w:eastAsia="Arial"/>
          <w:b w:val="0"/>
          <w:i w:val="0"/>
          <w:color w:val="666666"/>
          <w:sz w:val="18"/>
        </w:rPr>
        <w:t>Support: support@lithodat.com</w:t>
      </w:r>
    </w:p>
    <w:sectPr w:rsidR="00FC693F" w:rsidRPr="0006063C" w:rsidSect="00034616">
      <w:pgSz w:w="11899" w:h="16838"/>
      <w:pgMar w:top="338" w:right="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yperlink" Target="https://www.re3data.org/repository/r3d100014000" TargetMode="External"/><Relationship Id="rId19" Type="http://schemas.openxmlformats.org/officeDocument/2006/relationships/hyperlink" Target="https://worlddatasystem.org/member-highlight-auscope-earthbank-platform/" TargetMode="External"/><Relationship Id="rId20" Type="http://schemas.openxmlformats.org/officeDocument/2006/relationships/hyperlink" Target="https://www.coretrustseal.org/about/history/" TargetMode="External"/><Relationship Id="rId21" Type="http://schemas.openxmlformats.org/officeDocument/2006/relationships/image" Target="media/image10.png"/><Relationship Id="rId22" Type="http://schemas.openxmlformats.org/officeDocument/2006/relationships/hyperlink" Target="https://lithoda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