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9210" w:val="left"/>
        </w:tabs>
        <w:autoSpaceDE w:val="0"/>
        <w:widowControl/>
        <w:spacing w:line="240" w:lineRule="auto" w:before="434" w:after="0"/>
        <w:ind w:left="452" w:right="432" w:firstLine="0"/>
        <w:jc w:val="left"/>
      </w:pPr>
      <w:r>
        <w:rPr>
          <w:rFonts w:ascii="Arial" w:hAnsi="Arial" w:eastAsia="Arial"/>
          <w:b/>
          <w:i w:val="0"/>
          <w:color w:val="ABABAB"/>
          <w:sz w:val="48"/>
        </w:rPr>
        <w:t xml:space="preserve">APPENDIX F: Health, Safety &amp; </w:t>
      </w:r>
      <w:r>
        <w:br/>
      </w:r>
      <w:r>
        <w:rPr>
          <w:rFonts w:ascii="Arial" w:hAnsi="Arial" w:eastAsia="Arial"/>
          <w:b/>
          <w:i w:val="0"/>
          <w:color w:val="ABABAB"/>
          <w:sz w:val="48"/>
        </w:rPr>
        <w:t>Environment Policy</w:t>
      </w:r>
      <w:r>
        <w:tab/>
      </w:r>
      <w:r>
        <w:drawing>
          <wp:inline xmlns:a="http://schemas.openxmlformats.org/drawingml/2006/main" xmlns:pic="http://schemas.openxmlformats.org/drawingml/2006/picture">
            <wp:extent cx="1428750" cy="27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7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auto" w:before="154" w:after="0"/>
        <w:ind w:left="452" w:right="360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6"/>
        </w:rPr>
        <w:t xml:space="preserve">Digital Workplace Safety &amp; Environmental Sustainability Framework </w:t>
      </w:r>
      <w:r>
        <w:rPr>
          <w:rFonts w:ascii="Arial" w:hAnsi="Arial" w:eastAsia="Arial"/>
          <w:b w:val="0"/>
          <w:i w:val="0"/>
          <w:color w:val="ABABAB"/>
          <w:sz w:val="20"/>
        </w:rPr>
        <w:t>GDAC-SA Advanced Analytics Platform RFQ | Lithodat Pty Ltd</w:t>
      </w:r>
    </w:p>
    <w:p>
      <w:pPr>
        <w:autoSpaceDN w:val="0"/>
        <w:autoSpaceDE w:val="0"/>
        <w:widowControl/>
        <w:spacing w:line="274" w:lineRule="auto" w:before="916" w:after="0"/>
        <w:ind w:left="738" w:right="72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Policy Overview: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Lithodat is committed to maintaining a safe, healthy and environmentally responsible workplace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across all operations. As a software, cloud and scientific data company working with global government and research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organisations, Lithodat follows industry best practices for digital safety, environmental sustainability, and responsible </w:t>
      </w:r>
      <w:r>
        <w:rPr>
          <w:rFonts w:ascii="Arial" w:hAnsi="Arial" w:eastAsia="Arial"/>
          <w:b w:val="0"/>
          <w:i w:val="0"/>
          <w:color w:val="333333"/>
          <w:sz w:val="20"/>
        </w:rPr>
        <w:t>workplace management. This HSE framework applies to all staff, contractors, partners and collaborators.</w:t>
      </w:r>
    </w:p>
    <w:p>
      <w:pPr>
        <w:autoSpaceDN w:val="0"/>
        <w:autoSpaceDE w:val="0"/>
        <w:widowControl/>
        <w:spacing w:line="233" w:lineRule="auto" w:before="532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1. Environmental Management Approach</w:t>
      </w:r>
    </w:p>
    <w:p>
      <w:pPr>
        <w:autoSpaceDN w:val="0"/>
        <w:autoSpaceDE w:val="0"/>
        <w:widowControl/>
        <w:spacing w:line="338" w:lineRule="auto" w:before="264" w:after="0"/>
        <w:ind w:left="452" w:right="144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Although Lithodat is not an industrial or field-operations organisation, it actively incorporates environmental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stewardship into its digital operations and cloud infrastructure: </w:t>
      </w:r>
      <w:r>
        <w:br/>
      </w:r>
      <w:r>
        <w:rPr>
          <w:rFonts w:ascii="Arial" w:hAnsi="Arial" w:eastAsia="Arial"/>
          <w:b/>
          <w:i w:val="0"/>
          <w:color w:val="1F4E78"/>
          <w:sz w:val="22"/>
        </w:rPr>
        <w:t xml:space="preserve">Sustainable Cloud Hosting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 operates entirely on </w:t>
      </w:r>
      <w:r>
        <w:rPr>
          <w:rFonts w:ascii="Arial" w:hAnsi="Arial" w:eastAsia="Arial"/>
          <w:b/>
          <w:i w:val="0"/>
          <w:color w:val="1F4E78"/>
          <w:sz w:val="21"/>
        </w:rPr>
        <w:t>Amazon Web Services (AWS)</w:t>
      </w:r>
      <w:r>
        <w:rPr>
          <w:rFonts w:ascii="Arial" w:hAnsi="Arial" w:eastAsia="Arial"/>
          <w:b w:val="0"/>
          <w:i w:val="0"/>
          <w:color w:val="333333"/>
          <w:sz w:val="21"/>
        </w:rPr>
        <w:t>, which maintains: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8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100% renewable energy commitment by 2025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ISO 14001–aligned environmental management programs</w:t>
      </w:r>
    </w:p>
    <w:p>
      <w:pPr>
        <w:autoSpaceDN w:val="0"/>
        <w:tabs>
          <w:tab w:pos="520" w:val="left"/>
          <w:tab w:pos="752" w:val="left"/>
        </w:tabs>
        <w:autoSpaceDE w:val="0"/>
        <w:widowControl/>
        <w:spacing w:line="240" w:lineRule="auto" w:before="126" w:after="0"/>
        <w:ind w:left="452" w:right="475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Highly energy-efficient data centers </w:t>
      </w:r>
      <w:r>
        <w:br/>
      </w:r>
      <w:r>
        <w:rPr>
          <w:rFonts w:ascii="Arial" w:hAnsi="Arial" w:eastAsia="Arial"/>
          <w:b/>
          <w:i w:val="0"/>
          <w:color w:val="1F4E78"/>
          <w:sz w:val="22"/>
        </w:rPr>
        <w:t xml:space="preserve">Paperless Operations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 maintains </w:t>
      </w:r>
      <w:r>
        <w:rPr>
          <w:rFonts w:ascii="Arial" w:hAnsi="Arial" w:eastAsia="Arial"/>
          <w:b/>
          <w:i w:val="0"/>
          <w:color w:val="1F4E78"/>
          <w:sz w:val="21"/>
        </w:rPr>
        <w:t>near-zero paper usage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 daily operations through: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Digital invoicing, documentation and approvals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Cloud-based project management</w:t>
      </w:r>
    </w:p>
    <w:p>
      <w:pPr>
        <w:autoSpaceDN w:val="0"/>
        <w:tabs>
          <w:tab w:pos="520" w:val="left"/>
          <w:tab w:pos="752" w:val="left"/>
        </w:tabs>
        <w:autoSpaceDE w:val="0"/>
        <w:widowControl/>
        <w:spacing w:line="240" w:lineRule="auto" w:before="124" w:after="0"/>
        <w:ind w:left="452" w:right="547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Online collaboration with government and academic partners </w:t>
      </w:r>
      <w:r>
        <w:br/>
      </w:r>
      <w:r>
        <w:rPr>
          <w:rFonts w:ascii="Arial" w:hAnsi="Arial" w:eastAsia="Arial"/>
          <w:b/>
          <w:i w:val="0"/>
          <w:color w:val="1F4E78"/>
          <w:sz w:val="22"/>
        </w:rPr>
        <w:t xml:space="preserve">Remote Work to Reduce Environmental Footprint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>Most staff work remotely or hybrid, significantly reducing: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8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Commuting emissions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Office energy consumption</w:t>
      </w:r>
    </w:p>
    <w:p>
      <w:pPr>
        <w:autoSpaceDN w:val="0"/>
        <w:tabs>
          <w:tab w:pos="520" w:val="left"/>
          <w:tab w:pos="752" w:val="left"/>
        </w:tabs>
        <w:autoSpaceDE w:val="0"/>
        <w:widowControl/>
        <w:spacing w:line="240" w:lineRule="auto" w:before="126" w:after="64"/>
        <w:ind w:left="452" w:right="77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Physical infrastructure requirements </w:t>
      </w:r>
      <w:r>
        <w:br/>
      </w:r>
      <w:r>
        <w:rPr>
          <w:rFonts w:ascii="Arial" w:hAnsi="Arial" w:eastAsia="Arial"/>
          <w:b/>
          <w:i w:val="0"/>
          <w:color w:val="1F4E78"/>
          <w:sz w:val="22"/>
        </w:rPr>
        <w:t>Responsible Equipment Lifecycle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4509"/>
        <w:gridCol w:w="4509"/>
      </w:tblGrid>
      <w:tr>
        <w:trPr>
          <w:trHeight w:hRule="exact" w:val="1292"/>
        </w:trPr>
        <w:tc>
          <w:tcPr>
            <w:tcW w:type="dxa" w:w="210"/>
            <w:tcBorders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60" w:after="0"/>
              <w:ind w:left="92" w:right="53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Recycling and proper disposal of electronics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Sustainable procurement of IT hardware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Cloud-based processing to minimise local compute waste</w:t>
            </w:r>
          </w:p>
        </w:tc>
      </w:tr>
    </w:tbl>
    <w:p>
      <w:pPr>
        <w:autoSpaceDN w:val="0"/>
        <w:autoSpaceDE w:val="0"/>
        <w:widowControl/>
        <w:spacing w:line="235" w:lineRule="auto" w:before="282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2. Health and Safety Standards Followed</w:t>
      </w:r>
    </w:p>
    <w:p>
      <w:pPr>
        <w:autoSpaceDN w:val="0"/>
        <w:autoSpaceDE w:val="0"/>
        <w:widowControl/>
        <w:spacing w:line="348" w:lineRule="auto" w:before="264" w:after="0"/>
        <w:ind w:left="452" w:right="561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Lithodat's workplace health and safety framework aligns with: </w:t>
      </w:r>
      <w:r>
        <w:br/>
      </w:r>
      <w:r>
        <w:rPr>
          <w:rFonts w:ascii="Arial" w:hAnsi="Arial" w:eastAsia="Arial"/>
          <w:b/>
          <w:i w:val="0"/>
          <w:color w:val="1F4E78"/>
          <w:sz w:val="22"/>
        </w:rPr>
        <w:t>ISO 45001 — Occupational Health and Safety</w:t>
      </w: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4991100</wp:posOffset>
            </wp:positionV>
            <wp:extent cx="6997700" cy="9779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97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While not formally certified, Lithodat adheres to ISO 45001 principles, including: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Hazard identification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Risk mitigation procedures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Preventive and corrective actions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Health and safety documentation</w:t>
      </w:r>
    </w:p>
    <w:p>
      <w:pPr>
        <w:autoSpaceDN w:val="0"/>
        <w:autoSpaceDE w:val="0"/>
        <w:widowControl/>
        <w:spacing w:line="235" w:lineRule="auto" w:before="1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Status: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Alignment (not formally certified)</w:t>
      </w:r>
    </w:p>
    <w:p>
      <w:pPr>
        <w:autoSpaceDN w:val="0"/>
        <w:autoSpaceDE w:val="0"/>
        <w:widowControl/>
        <w:spacing w:line="233" w:lineRule="auto" w:before="2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Remote &amp; Digital Workplace Safety</w:t>
      </w:r>
    </w:p>
    <w:p>
      <w:pPr>
        <w:autoSpaceDN w:val="0"/>
        <w:autoSpaceDE w:val="0"/>
        <w:widowControl/>
        <w:spacing w:line="235" w:lineRule="auto" w:before="1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has dedicated safety measures for remote staff, including: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Ergonomic workstation guidelines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Safe home-office setup recommendations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Break and screen-time management policies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Guidelines for stress management and mental wellbeing</w:t>
      </w:r>
    </w:p>
    <w:p>
      <w:pPr>
        <w:autoSpaceDN w:val="0"/>
        <w:autoSpaceDE w:val="0"/>
        <w:widowControl/>
        <w:spacing w:line="233" w:lineRule="auto" w:before="250" w:after="6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Inclusive and Safe Work Environment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14"/>
        <w:gridCol w:w="5514"/>
      </w:tblGrid>
      <w:tr>
        <w:trPr>
          <w:trHeight w:hRule="exact" w:val="1278"/>
        </w:trPr>
        <w:tc>
          <w:tcPr>
            <w:tcW w:type="dxa" w:w="210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60" w:after="0"/>
              <w:ind w:left="92" w:right="547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Zero-tolerance policies for harassment or discrimination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Equal opportunity employment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Confidential mechanisms to raise concerns</w:t>
            </w:r>
          </w:p>
        </w:tc>
      </w:tr>
    </w:tbl>
    <w:p>
      <w:pPr>
        <w:autoSpaceDN w:val="0"/>
        <w:autoSpaceDE w:val="0"/>
        <w:widowControl/>
        <w:spacing w:line="233" w:lineRule="auto" w:before="282" w:after="108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3. HSE 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6"/>
        <w:gridCol w:w="3676"/>
        <w:gridCol w:w="3676"/>
      </w:tblGrid>
      <w:tr>
        <w:trPr>
          <w:trHeight w:hRule="exact" w:val="696"/>
        </w:trPr>
        <w:tc>
          <w:tcPr>
            <w:tcW w:type="dxa" w:w="361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0B981"/>
                <w:sz w:val="21"/>
              </w:rPr>
              <w:t>ISO 14001</w:t>
            </w:r>
          </w:p>
        </w:tc>
        <w:tc>
          <w:tcPr>
            <w:tcW w:type="dxa" w:w="37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0B981"/>
                <w:sz w:val="21"/>
              </w:rPr>
              <w:t>ISO 45001</w:t>
            </w:r>
          </w:p>
        </w:tc>
        <w:tc>
          <w:tcPr>
            <w:tcW w:type="dxa" w:w="362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0B981"/>
                <w:sz w:val="21"/>
              </w:rPr>
              <w:t>AWS HSE Certification</w:t>
            </w:r>
          </w:p>
        </w:tc>
      </w:tr>
      <w:tr>
        <w:trPr>
          <w:trHeight w:hRule="exact" w:val="306"/>
        </w:trPr>
        <w:tc>
          <w:tcPr>
            <w:tcW w:type="dxa" w:w="3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0" w:right="0" w:firstLine="0"/>
              <w:jc w:val="center"/>
            </w:pPr>
            <w:r>
              <w:rPr>
                <w:rFonts w:ascii="Apple Symbols" w:hAnsi="Apple Symbols" w:eastAsia="Apple Symbols"/>
                <w:b w:val="0"/>
                <w:i w:val="0"/>
                <w:color w:val="059669"/>
                <w:sz w:val="18"/>
              </w:rPr>
              <w:t>⊙</w:t>
            </w: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 xml:space="preserve"> Alignment Only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0" w:right="0" w:firstLine="0"/>
              <w:jc w:val="center"/>
            </w:pPr>
            <w:r>
              <w:rPr>
                <w:rFonts w:ascii="Apple Symbols" w:hAnsi="Apple Symbols" w:eastAsia="Apple Symbols"/>
                <w:b w:val="0"/>
                <w:i w:val="0"/>
                <w:color w:val="059669"/>
                <w:sz w:val="18"/>
              </w:rPr>
              <w:t>⊙</w:t>
            </w: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 xml:space="preserve"> Alignment Only</w:t>
            </w:r>
          </w:p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>SOC 1/2/3 Compliance</w:t>
            </w:r>
          </w:p>
        </w:tc>
      </w:tr>
      <w:tr>
        <w:trPr>
          <w:trHeight w:hRule="exact" w:val="250"/>
        </w:trPr>
        <w:tc>
          <w:tcPr>
            <w:tcW w:type="dxa" w:w="3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>Environmental Management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>Occupational Health &amp; Safety</w:t>
            </w:r>
          </w:p>
        </w:tc>
        <w:tc>
          <w:tcPr>
            <w:tcW w:type="dxa" w:w="367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3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>Not Certified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>Not Certified</w:t>
            </w:r>
          </w:p>
        </w:tc>
        <w:tc>
          <w:tcPr>
            <w:tcW w:type="dxa" w:w="36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7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Cloud Infrastructure Certification (AWS)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AWS — Lithodat's exclusive hosting environment — holds: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ISO 14001 (environmental management)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ISO 45001 (occupational safety – data center staff)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ISO 27001 / ISO 27017 / ISO 27018 (security, privacy)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SOC 1 / SOC 2 / SOC 3 compliance</w:t>
      </w:r>
    </w:p>
    <w:p>
      <w:pPr>
        <w:autoSpaceDN w:val="0"/>
        <w:autoSpaceDE w:val="0"/>
        <w:widowControl/>
        <w:spacing w:line="233" w:lineRule="auto" w:before="17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inherits these environmental and safety assurances for all hosted services.</w:t>
      </w:r>
    </w:p>
    <w:p>
      <w:pPr>
        <w:autoSpaceDN w:val="0"/>
        <w:autoSpaceDE w:val="0"/>
        <w:widowControl/>
        <w:spacing w:line="233" w:lineRule="auto" w:before="5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4. Workplace Safety Policies</w:t>
      </w:r>
    </w:p>
    <w:p>
      <w:pPr>
        <w:autoSpaceDN w:val="0"/>
        <w:autoSpaceDE w:val="0"/>
        <w:widowControl/>
        <w:spacing w:line="235" w:lineRule="auto" w:before="26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maintains strong internal digital safety practices:</w:t>
      </w:r>
    </w:p>
    <w:p>
      <w:pPr>
        <w:autoSpaceDN w:val="0"/>
        <w:autoSpaceDE w:val="0"/>
        <w:widowControl/>
        <w:spacing w:line="233" w:lineRule="auto" w:before="2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Ergonomics &amp; Workspace Setup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08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Recommendations for adjustable desks, safe monitor height, proper lighting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Health-conscious work scheduling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Safe Work Hours &amp; Fatigue Management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2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Encouragement of breaks during long coding or analysis sessions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Flexible hours to avoid overwork and stress</w:t>
      </w:r>
    </w:p>
    <w:p>
      <w:pPr>
        <w:sectPr>
          <w:pgSz w:w="11899" w:h="16838"/>
          <w:pgMar w:top="348" w:right="420" w:bottom="508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Mental Health &amp; Wellbeing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Supportive culture promoting work–life balance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Manager check-ins and open communication channels</w:t>
      </w:r>
    </w:p>
    <w:p>
      <w:pPr>
        <w:autoSpaceDN w:val="0"/>
        <w:autoSpaceDE w:val="0"/>
        <w:widowControl/>
        <w:spacing w:line="233" w:lineRule="auto" w:before="250" w:after="5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Secure Working Environments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14"/>
        <w:gridCol w:w="5514"/>
      </w:tblGrid>
      <w:tr>
        <w:trPr>
          <w:trHeight w:hRule="exact" w:val="1288"/>
        </w:trPr>
        <w:tc>
          <w:tcPr>
            <w:tcW w:type="dxa" w:w="210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54" w:after="0"/>
              <w:ind w:left="92" w:right="547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Mandatory encrypted devices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Up-to-date antivirus and security patches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VPN and two-factor authentication for sensitive systems</w:t>
            </w:r>
          </w:p>
        </w:tc>
      </w:tr>
    </w:tbl>
    <w:p>
      <w:pPr>
        <w:autoSpaceDN w:val="0"/>
        <w:autoSpaceDE w:val="0"/>
        <w:widowControl/>
        <w:spacing w:line="233" w:lineRule="auto" w:before="2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5. Environmental Sustainability Initiatives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Cloud-based Workflows Reduce: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Hardware waste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Local energy consumption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On-premises server requirements</w:t>
      </w:r>
    </w:p>
    <w:p>
      <w:pPr>
        <w:autoSpaceDN w:val="0"/>
        <w:autoSpaceDE w:val="0"/>
        <w:widowControl/>
        <w:spacing w:line="233" w:lineRule="auto" w:before="2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Teleconferencing-First Approach</w:t>
      </w:r>
    </w:p>
    <w:p>
      <w:pPr>
        <w:autoSpaceDN w:val="0"/>
        <w:autoSpaceDE w:val="0"/>
        <w:widowControl/>
        <w:spacing w:line="235" w:lineRule="auto" w:before="1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prioritises virtual meetings, reducing: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Domestic and international travel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Carbon footprint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Physical office footprint</w:t>
      </w:r>
    </w:p>
    <w:p>
      <w:pPr>
        <w:autoSpaceDN w:val="0"/>
        <w:autoSpaceDE w:val="0"/>
        <w:widowControl/>
        <w:spacing w:line="233" w:lineRule="auto" w:before="252" w:after="5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Minimised Resource Consumption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14"/>
        <w:gridCol w:w="5514"/>
      </w:tblGrid>
      <w:tr>
        <w:trPr>
          <w:trHeight w:hRule="exact" w:val="1286"/>
        </w:trPr>
        <w:tc>
          <w:tcPr>
            <w:tcW w:type="dxa" w:w="210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54" w:after="0"/>
              <w:ind w:left="92" w:right="633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Digital signatures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Cloud document storage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Minimised printing and physical documentation</w:t>
            </w:r>
          </w:p>
        </w:tc>
      </w:tr>
    </w:tbl>
    <w:p>
      <w:pPr>
        <w:autoSpaceDN w:val="0"/>
        <w:autoSpaceDE w:val="0"/>
        <w:widowControl/>
        <w:spacing w:line="235" w:lineRule="auto" w:before="2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6. HSE Training Programs</w:t>
      </w:r>
    </w:p>
    <w:p>
      <w:pPr>
        <w:autoSpaceDN w:val="0"/>
        <w:autoSpaceDE w:val="0"/>
        <w:widowControl/>
        <w:spacing w:line="233" w:lineRule="auto" w:before="264" w:after="166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provides regular internal training, including: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64"/>
        </w:trPr>
        <w:tc>
          <w:tcPr>
            <w:tcW w:type="dxa" w:w="301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Training Type</w:t>
            </w:r>
          </w:p>
        </w:tc>
        <w:tc>
          <w:tcPr>
            <w:tcW w:type="dxa" w:w="6016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Focus Areas</w:t>
            </w:r>
          </w:p>
        </w:tc>
        <w:tc>
          <w:tcPr>
            <w:tcW w:type="dxa" w:w="1964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Frequency</w:t>
            </w:r>
          </w:p>
        </w:tc>
      </w:tr>
      <w:tr>
        <w:trPr>
          <w:trHeight w:hRule="exact" w:val="480"/>
        </w:trPr>
        <w:tc>
          <w:tcPr>
            <w:tcW w:type="dxa" w:w="301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Cybersecurity Awareness</w:t>
            </w:r>
          </w:p>
        </w:tc>
        <w:tc>
          <w:tcPr>
            <w:tcW w:type="dxa" w:w="6016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Phishing prevention, password management, safe data handling</w:t>
            </w:r>
          </w:p>
        </w:tc>
        <w:tc>
          <w:tcPr>
            <w:tcW w:type="dxa" w:w="1964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Quarterly</w:t>
            </w:r>
          </w:p>
        </w:tc>
      </w:tr>
      <w:tr>
        <w:trPr>
          <w:trHeight w:hRule="exact" w:val="750"/>
        </w:trPr>
        <w:tc>
          <w:tcPr>
            <w:tcW w:type="dxa" w:w="301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 xml:space="preserve">Remote Work Health &amp; </w:t>
            </w: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Safety</w:t>
            </w:r>
          </w:p>
        </w:tc>
        <w:tc>
          <w:tcPr>
            <w:tcW w:type="dxa" w:w="6016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Ergonomic setup, healthy work practices, burnout prevention</w:t>
            </w:r>
          </w:p>
        </w:tc>
        <w:tc>
          <w:tcPr>
            <w:tcW w:type="dxa" w:w="1964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Annual</w:t>
            </w:r>
          </w:p>
        </w:tc>
      </w:tr>
      <w:tr>
        <w:trPr>
          <w:trHeight w:hRule="exact" w:val="766"/>
        </w:trPr>
        <w:tc>
          <w:tcPr>
            <w:tcW w:type="dxa" w:w="301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Data Security &amp; Privacy</w:t>
            </w:r>
          </w:p>
        </w:tc>
        <w:tc>
          <w:tcPr>
            <w:tcW w:type="dxa" w:w="6016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Compliance training, role-based permissions, access protocols</w:t>
            </w:r>
          </w:p>
        </w:tc>
        <w:tc>
          <w:tcPr>
            <w:tcW w:type="dxa" w:w="1964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6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Mandatory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(annual)</w:t>
            </w:r>
          </w:p>
        </w:tc>
      </w:tr>
      <w:tr>
        <w:trPr>
          <w:trHeight w:hRule="exact" w:val="750"/>
        </w:trPr>
        <w:tc>
          <w:tcPr>
            <w:tcW w:type="dxa" w:w="301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Incident Response</w:t>
            </w:r>
          </w:p>
        </w:tc>
        <w:tc>
          <w:tcPr>
            <w:tcW w:type="dxa" w:w="6016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2" w:after="0"/>
              <w:ind w:left="122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Reporting issues, escalation pathways, emergency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communication</w:t>
            </w:r>
          </w:p>
        </w:tc>
        <w:tc>
          <w:tcPr>
            <w:tcW w:type="dxa" w:w="1964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As needed</w:t>
            </w:r>
          </w:p>
        </w:tc>
      </w:tr>
    </w:tbl>
    <w:p>
      <w:pPr>
        <w:autoSpaceDN w:val="0"/>
        <w:autoSpaceDE w:val="0"/>
        <w:widowControl/>
        <w:spacing w:line="235" w:lineRule="auto" w:before="52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7. Incident Reporting Procedures</w:t>
      </w:r>
    </w:p>
    <w:p>
      <w:pPr>
        <w:autoSpaceDN w:val="0"/>
        <w:autoSpaceDE w:val="0"/>
        <w:widowControl/>
        <w:spacing w:line="233" w:lineRule="auto" w:before="26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maintains a formal incident reporting workflow for health, safety and environmental issues.</w:t>
      </w:r>
    </w:p>
    <w:p>
      <w:pPr>
        <w:autoSpaceDN w:val="0"/>
        <w:autoSpaceDE w:val="0"/>
        <w:widowControl/>
        <w:spacing w:line="233" w:lineRule="auto" w:before="2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Reporting Process</w:t>
      </w:r>
    </w:p>
    <w:p>
      <w:pPr>
        <w:sectPr>
          <w:pgSz w:w="11899" w:h="16838"/>
          <w:pgMar w:top="350" w:right="420" w:bottom="528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1. </w:t>
      </w:r>
      <w:r>
        <w:rPr>
          <w:rFonts w:ascii="Arial" w:hAnsi="Arial" w:eastAsia="Arial"/>
          <w:b/>
          <w:i w:val="0"/>
          <w:color w:val="1F4E78"/>
          <w:sz w:val="21"/>
        </w:rPr>
        <w:t>Immediate reporting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to the Managing Director or designated HSE contact</w:t>
      </w:r>
    </w:p>
    <w:p>
      <w:pPr>
        <w:autoSpaceDN w:val="0"/>
        <w:autoSpaceDE w:val="0"/>
        <w:widowControl/>
        <w:spacing w:line="235" w:lineRule="auto" w:before="124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2. </w:t>
      </w:r>
      <w:r>
        <w:rPr>
          <w:rFonts w:ascii="Arial" w:hAnsi="Arial" w:eastAsia="Arial"/>
          <w:b/>
          <w:i w:val="0"/>
          <w:color w:val="1F4E78"/>
          <w:sz w:val="21"/>
        </w:rPr>
        <w:t>Incident documentation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using internal digital forms</w:t>
      </w:r>
    </w:p>
    <w:p>
      <w:pPr>
        <w:autoSpaceDN w:val="0"/>
        <w:autoSpaceDE w:val="0"/>
        <w:widowControl/>
        <w:spacing w:line="233" w:lineRule="auto" w:before="11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3. </w:t>
      </w:r>
      <w:r>
        <w:rPr>
          <w:rFonts w:ascii="Arial" w:hAnsi="Arial" w:eastAsia="Arial"/>
          <w:b/>
          <w:i w:val="0"/>
          <w:color w:val="1F4E78"/>
          <w:sz w:val="21"/>
        </w:rPr>
        <w:t>Root cause analysis</w:t>
      </w:r>
    </w:p>
    <w:p>
      <w:pPr>
        <w:autoSpaceDN w:val="0"/>
        <w:autoSpaceDE w:val="0"/>
        <w:widowControl/>
        <w:spacing w:line="233" w:lineRule="auto" w:before="126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4. </w:t>
      </w:r>
      <w:r>
        <w:rPr>
          <w:rFonts w:ascii="Arial" w:hAnsi="Arial" w:eastAsia="Arial"/>
          <w:b/>
          <w:i w:val="0"/>
          <w:color w:val="1F4E78"/>
          <w:sz w:val="21"/>
        </w:rPr>
        <w:t>Corrective and preventive action plan</w:t>
      </w:r>
    </w:p>
    <w:p>
      <w:pPr>
        <w:autoSpaceDN w:val="0"/>
        <w:autoSpaceDE w:val="0"/>
        <w:widowControl/>
        <w:spacing w:line="235" w:lineRule="auto" w:before="11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5. </w:t>
      </w:r>
      <w:r>
        <w:rPr>
          <w:rFonts w:ascii="Arial" w:hAnsi="Arial" w:eastAsia="Arial"/>
          <w:b/>
          <w:i w:val="0"/>
          <w:color w:val="1F4E78"/>
          <w:sz w:val="21"/>
        </w:rPr>
        <w:t>Follow-up assessment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to ensure resolution</w:t>
      </w:r>
    </w:p>
    <w:p>
      <w:pPr>
        <w:autoSpaceDN w:val="0"/>
        <w:autoSpaceDE w:val="0"/>
        <w:widowControl/>
        <w:spacing w:line="233" w:lineRule="auto" w:before="2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Types of Incidents Covered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Digital safety issues (e.g., security breaches, hardware failures)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Health issues related to remote or in-office work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Environmental concerns (e.g., equipment disposal, energy use)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Confidentiality</w:t>
      </w:r>
    </w:p>
    <w:p>
      <w:pPr>
        <w:autoSpaceDN w:val="0"/>
        <w:autoSpaceDE w:val="0"/>
        <w:widowControl/>
        <w:spacing w:line="235" w:lineRule="auto" w:before="12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All reports are handled confidentially without prejudice or retaliation.</w:t>
      </w:r>
    </w:p>
    <w:p>
      <w:pPr>
        <w:autoSpaceDN w:val="0"/>
        <w:autoSpaceDE w:val="0"/>
        <w:widowControl/>
        <w:spacing w:line="278" w:lineRule="auto" w:before="718" w:after="0"/>
        <w:ind w:left="288" w:right="720" w:firstLine="0"/>
        <w:jc w:val="left"/>
      </w:pPr>
      <w:r>
        <w:rPr>
          <w:rFonts w:ascii="Arial" w:hAnsi="Arial" w:eastAsia="Arial"/>
          <w:b/>
          <w:i w:val="0"/>
          <w:color w:val="10B981"/>
          <w:sz w:val="20"/>
        </w:rPr>
        <w:t>HSE Policy Summary: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Lithodat maintains a robust and modern HSE framework suitable for a software, AI and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scientific data company. Through ISO-aligned practices, AWS environmental and safety certifications, digital-first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workplace policies, and strong incident management procedures, Lithodat ensures a </w:t>
      </w:r>
      <w:r>
        <w:rPr>
          <w:rFonts w:ascii="Arial" w:hAnsi="Arial" w:eastAsia="Arial"/>
          <w:b/>
          <w:i w:val="0"/>
          <w:color w:val="10B981"/>
          <w:sz w:val="20"/>
        </w:rPr>
        <w:t xml:space="preserve">safe, healthy and </w:t>
      </w:r>
      <w:r>
        <w:rPr>
          <w:rFonts w:ascii="Arial" w:hAnsi="Arial" w:eastAsia="Arial"/>
          <w:b/>
          <w:i w:val="0"/>
          <w:color w:val="10B981"/>
          <w:sz w:val="20"/>
        </w:rPr>
        <w:t>environmentally responsible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operating environment aligned with GDAC-SA expectations.</w:t>
      </w:r>
    </w:p>
    <w:p>
      <w:pPr>
        <w:autoSpaceDN w:val="0"/>
        <w:autoSpaceDE w:val="0"/>
        <w:widowControl/>
        <w:spacing w:line="271" w:lineRule="auto" w:before="742" w:after="0"/>
        <w:ind w:left="2" w:right="8784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 xml:space="preserve">Dr. Fabian Kohlmann </w:t>
      </w:r>
      <w:r>
        <w:br/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Chief Executive Officer </w:t>
      </w:r>
      <w:r>
        <w:br/>
      </w:r>
      <w:r>
        <w:rPr>
          <w:rFonts w:ascii="Arial" w:hAnsi="Arial" w:eastAsia="Arial"/>
          <w:b w:val="0"/>
          <w:i w:val="0"/>
          <w:color w:val="454545"/>
          <w:sz w:val="18"/>
        </w:rPr>
        <w:t>December 2024</w:t>
      </w:r>
    </w:p>
    <w:p>
      <w:pPr>
        <w:autoSpaceDN w:val="0"/>
        <w:autoSpaceDE w:val="0"/>
        <w:widowControl/>
        <w:spacing w:line="274" w:lineRule="auto" w:before="550" w:after="0"/>
        <w:ind w:left="2" w:right="7776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Lithodat Pty Ltd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| ABN: 48 647 191 452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Website: </w:t>
      </w:r>
      <w:r>
        <w:rPr>
          <w:rFonts w:ascii="Arial" w:hAnsi="Arial" w:eastAsia="Arial"/>
          <w:b w:val="0"/>
          <w:i w:val="0"/>
          <w:color w:val="1F4E78"/>
          <w:sz w:val="18"/>
          <w:u w:val="single"/>
        </w:rPr>
        <w:hyperlink r:id="rId19" w:history="1">
          <w:r>
            <w:rPr>
              <w:rStyle w:val="Hyperlink"/>
            </w:rPr>
            <w:t xml:space="preserve">https://lithodat.com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Support: support@lithodat.com</w:t>
      </w:r>
    </w:p>
    <w:sectPr w:rsidR="00FC693F" w:rsidRPr="0006063C" w:rsidSect="00034616">
      <w:pgSz w:w="11899" w:h="16838"/>
      <w:pgMar w:top="348" w:right="420" w:bottom="1440" w:left="4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lithoda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