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434" w:after="80"/>
        <w:ind w:left="452" w:right="0" w:firstLine="0"/>
        <w:jc w:val="left"/>
      </w:pPr>
      <w:r>
        <w:rPr>
          <w:rFonts w:ascii="Arial" w:hAnsi="Arial" w:eastAsia="Arial"/>
          <w:b/>
          <w:i w:val="0"/>
          <w:color w:val="ABABAB"/>
          <w:sz w:val="48"/>
        </w:rPr>
        <w:t>APPENDIX G: EarthBank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509"/>
        <w:gridCol w:w="4509"/>
      </w:tblGrid>
      <w:tr>
        <w:trPr>
          <w:trHeight w:hRule="exact" w:val="1110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32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48"/>
              </w:rPr>
              <w:t xml:space="preserve">Summary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ABABAB"/>
                <w:sz w:val="26"/>
              </w:rPr>
              <w:t>National Geochemical, Isotopic, Geochronological &amp;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" w:after="0"/>
              <w:ind w:left="0" w:right="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28750" cy="323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23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6"/>
        </w:rPr>
        <w:t>Thermochronological Data Platform</w:t>
      </w:r>
    </w:p>
    <w:p>
      <w:pPr>
        <w:autoSpaceDN w:val="0"/>
        <w:autoSpaceDE w:val="0"/>
        <w:widowControl/>
        <w:spacing w:line="233" w:lineRule="auto" w:before="168" w:after="0"/>
        <w:ind w:left="452" w:right="0" w:firstLine="0"/>
        <w:jc w:val="left"/>
      </w:pPr>
      <w:r>
        <w:rPr>
          <w:rFonts w:ascii="Arial" w:hAnsi="Arial" w:eastAsia="Arial"/>
          <w:b w:val="0"/>
          <w:i w:val="0"/>
          <w:color w:val="ABABAB"/>
          <w:sz w:val="20"/>
        </w:rPr>
        <w:t>GDAC-SA Advanced Analytics Platform RFQ | Lithodat Pty Ltd</w:t>
      </w:r>
    </w:p>
    <w:p>
      <w:pPr>
        <w:autoSpaceDN w:val="0"/>
        <w:autoSpaceDE w:val="0"/>
        <w:widowControl/>
        <w:spacing w:line="278" w:lineRule="auto" w:before="916" w:after="0"/>
        <w:ind w:left="738" w:right="72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Project Overview: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EarthBank (formerly AusGeochem) is Australia's national cloud-based FAIR-compliant geoscience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data repository, developed and operated by Lithodat Pty Ltd in partnership with AuScope Geochemistry Network. The </w:t>
      </w:r>
      <w:r>
        <w:rPr>
          <w:rFonts w:ascii="Arial" w:hAnsi="Arial" w:eastAsia="Arial"/>
          <w:b w:val="0"/>
          <w:i w:val="0"/>
          <w:color w:val="333333"/>
          <w:sz w:val="20"/>
        </w:rPr>
        <w:t>platform demonstrates direct technical alignment with GDAC-SA requirements through proven capability in national-</w:t>
      </w:r>
      <w:r>
        <w:rPr>
          <w:rFonts w:ascii="Arial" w:hAnsi="Arial" w:eastAsia="Arial"/>
          <w:b w:val="0"/>
          <w:i w:val="0"/>
          <w:color w:val="333333"/>
          <w:sz w:val="20"/>
        </w:rPr>
        <w:t>scale data standardization, multi-agency integration, advanced analytics infrastructure, and AI-ready data architecture.</w:t>
      </w:r>
    </w:p>
    <w:p>
      <w:pPr>
        <w:autoSpaceDN w:val="0"/>
        <w:autoSpaceDE w:val="0"/>
        <w:widowControl/>
        <w:spacing w:line="233" w:lineRule="auto" w:before="518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1. Executive Summary</w:t>
      </w:r>
    </w:p>
    <w:p>
      <w:pPr>
        <w:autoSpaceDN w:val="0"/>
        <w:autoSpaceDE w:val="0"/>
        <w:widowControl/>
        <w:spacing w:line="233" w:lineRule="auto" w:before="34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1.1 What is EarthBank?</w:t>
      </w:r>
    </w:p>
    <w:p>
      <w:pPr>
        <w:autoSpaceDN w:val="0"/>
        <w:autoSpaceDE w:val="0"/>
        <w:widowControl/>
        <w:spacing w:line="278" w:lineRule="auto" w:before="108" w:after="0"/>
        <w:ind w:left="452" w:right="57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EarthBank is an Australian national cloud-based public data repository for geochemistry, geochronology, isotopes,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thermochronology, and geological sample metadata. Lithodat designed, built, and operates the entire platform under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contract to AuScope Geochemistry Network (AGN), funded through Australia's National Collaborative Research </w:t>
      </w:r>
      <w:r>
        <w:rPr>
          <w:rFonts w:ascii="Arial" w:hAnsi="Arial" w:eastAsia="Arial"/>
          <w:b w:val="0"/>
          <w:i w:val="0"/>
          <w:color w:val="333333"/>
          <w:sz w:val="21"/>
        </w:rPr>
        <w:t>Infrastructure Strategy (NCRIS).</w:t>
      </w:r>
    </w:p>
    <w:p>
      <w:pPr>
        <w:autoSpaceDN w:val="0"/>
        <w:autoSpaceDE w:val="0"/>
        <w:widowControl/>
        <w:spacing w:line="276" w:lineRule="auto" w:before="184" w:after="0"/>
        <w:ind w:left="45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The platform is fully FAIR-compliant (Findable, Accessible, Interoperable, Reusable) and CoreTrustSeal-certified,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making it one of the most trusted geological scientific data infrastructures globally. EarthBank serves as Australia's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centralized repository for analytical geoscience data, unifying datasets from federal and state geological surveys, </w:t>
      </w:r>
      <w:r>
        <w:rPr>
          <w:rFonts w:ascii="Arial" w:hAnsi="Arial" w:eastAsia="Arial"/>
          <w:b w:val="0"/>
          <w:i w:val="0"/>
          <w:color w:val="333333"/>
          <w:sz w:val="21"/>
        </w:rPr>
        <w:t>universities, and research institutions.</w:t>
      </w:r>
    </w:p>
    <w:p>
      <w:pPr>
        <w:autoSpaceDN w:val="0"/>
        <w:autoSpaceDE w:val="0"/>
        <w:widowControl/>
        <w:spacing w:line="235" w:lineRule="auto" w:before="18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AuScope NCRIS Funding Context</w:t>
      </w:r>
    </w:p>
    <w:p>
      <w:pPr>
        <w:autoSpaceDN w:val="0"/>
        <w:autoSpaceDE w:val="0"/>
        <w:widowControl/>
        <w:spacing w:line="259" w:lineRule="auto" w:before="124" w:after="0"/>
        <w:ind w:left="452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EarthBank is part of AuScope, Australia's national geoscience research infrastructure organization established in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2006. AuScope has received </w:t>
      </w:r>
      <w:r>
        <w:rPr>
          <w:rFonts w:ascii="Arial" w:hAnsi="Arial" w:eastAsia="Arial"/>
          <w:b/>
          <w:i w:val="0"/>
          <w:color w:val="1F4E78"/>
          <w:sz w:val="21"/>
        </w:rPr>
        <w:t>over $100 million in cumulative NCRIS funding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since inception, including: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$42.8 million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initial NCRIS allocation (2006) for integrated national geoscience infrastructure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$45 million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NCRIS RIIP funding (2023) for Earth, coastal, Antarctic monitoring, drilling, data, and modelling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$19 million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specifically allocated for EarthBank expansion, including 10 EarthBank fellows</w:t>
      </w:r>
    </w:p>
    <w:p>
      <w:pPr>
        <w:autoSpaceDN w:val="0"/>
        <w:autoSpaceDE w:val="0"/>
        <w:widowControl/>
        <w:spacing w:line="266" w:lineRule="auto" w:before="170" w:after="0"/>
        <w:ind w:left="45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This substantial government investment demonstrates Australia's recognition of national geoscience data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>infrastructure as critical research infrastructure—exactly the paradigm GDAC-SA seeks to implement for Saudi Arabia.</w:t>
      </w:r>
    </w:p>
    <w:p>
      <w:pPr>
        <w:autoSpaceDN w:val="0"/>
        <w:autoSpaceDE w:val="0"/>
        <w:widowControl/>
        <w:spacing w:line="233" w:lineRule="auto" w:before="25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1.2 Relevance to GDAC-SA Project</w:t>
      </w:r>
    </w:p>
    <w:p>
      <w:pPr>
        <w:autoSpaceDN w:val="0"/>
        <w:autoSpaceDE w:val="0"/>
        <w:widowControl/>
        <w:spacing w:line="271" w:lineRule="auto" w:before="108" w:after="0"/>
        <w:ind w:left="452" w:right="115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EarthBank demonstrates Lithodat's proven capability to deliver the exact type of national geoscience data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infrastructure required by the Saudi Geological Survey for the GDAC Advanced Analytics Platform. The project </w:t>
      </w:r>
      <w:r>
        <w:rPr>
          <w:rFonts w:ascii="Arial" w:hAnsi="Arial" w:eastAsia="Arial"/>
          <w:b w:val="0"/>
          <w:i w:val="0"/>
          <w:color w:val="333333"/>
          <w:sz w:val="21"/>
        </w:rPr>
        <w:t>showcases: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84" w:after="0"/>
        <w:ind w:left="52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National-Scale Data Integration: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Successfully integrated &gt;12 million analytical results from multiple federal and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state geological surveys, demonstrating capability to harmonize Saudi Arabia's distributed geological datasets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Multi-Agency Coordination: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Proven ability to coordinate data standards and workflows across 10+ Australian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universities and multiple government agencies, directly applicable to GDAC's multi-stakeholder environment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10" w:after="0"/>
        <w:ind w:left="52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Unified Data Models: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Custom-built relational database architecture with unified data models across geochemistry,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geochronology, isotopes, and thermochronology—the same types of analytical data GDAC-SA needs to integrate</w:t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Advanced Analytics Infrastructure: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REST API services, machine learning-ready data structures, and cloud-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native architecture optimized for the advanced analytics capabilities required by GDAC Phase 1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FAIR &amp; Quality Standards: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CoreTrustSeal certification and ISO security alignment demonstrate the data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governance rigor required for national geological survey infrastructure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Scalability Proven: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System handles 350,000+ registered samples, 1,300+ active users, and continues to scale as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national datasets grow</w:t>
      </w:r>
    </w:p>
    <w:p>
      <w:pPr>
        <w:autoSpaceDN w:val="0"/>
        <w:autoSpaceDE w:val="0"/>
        <w:widowControl/>
        <w:spacing w:line="278" w:lineRule="auto" w:before="358" w:after="0"/>
        <w:ind w:left="288" w:right="288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Key Alignment with GDAC-SA Phase 1: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EarthBank's architecture directly addresses GDAC's core requirements: (1)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National data standardization and cleansing, (2) Multi-source data integration and harmonization, (3) Advanced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analytics and ML-ready infrastructure, (4) Secure cloud-based deployment, (5) Multi-agency collaboration frameworks, </w:t>
      </w:r>
      <w:r>
        <w:rPr>
          <w:rFonts w:ascii="Arial" w:hAnsi="Arial" w:eastAsia="Arial"/>
          <w:b w:val="0"/>
          <w:i w:val="0"/>
          <w:color w:val="333333"/>
          <w:sz w:val="20"/>
        </w:rPr>
        <w:t>and (6) Internationally recognized data quality standards.</w:t>
      </w:r>
    </w:p>
    <w:p>
      <w:pPr>
        <w:autoSpaceDN w:val="0"/>
        <w:autoSpaceDE w:val="0"/>
        <w:widowControl/>
        <w:spacing w:line="233" w:lineRule="auto" w:before="5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2. AI and Machine Learning Capabilities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2.1 AI-Ready Data Architecture</w:t>
      </w:r>
    </w:p>
    <w:p>
      <w:pPr>
        <w:autoSpaceDN w:val="0"/>
        <w:autoSpaceDE w:val="0"/>
        <w:widowControl/>
        <w:spacing w:line="266" w:lineRule="auto" w:before="124" w:after="0"/>
        <w:ind w:left="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EarthBank was designed from inception to support advanced analytics and machine learning applications. The </w:t>
      </w:r>
      <w:r>
        <w:rPr>
          <w:rFonts w:ascii="Arial" w:hAnsi="Arial" w:eastAsia="Arial"/>
          <w:b w:val="0"/>
          <w:i w:val="0"/>
          <w:color w:val="333333"/>
          <w:sz w:val="21"/>
        </w:rPr>
        <w:t>platform's data architecture includes: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Standardized Data Schemas: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Custom SKOS-format relational database architecture ensures consistent,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machine-readable data structures optimized for ML algorithms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REST API Access: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Full programmatic access to all datasets enables integration with external ML workflows,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Python-based analytics tools, and automated data pipelines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Spatial-Temporal Analytics: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4D data structures (x, y, z, time) with paleogeographic reconstruction capabilities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support temporal machine learning models for mineral prospectivity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Quality Metadata: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Automated QA/QC pipelines and comprehensive procedural metadata enable ML models to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assess data quality and uncertainty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Cloud-Native Infrastructure: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100% AWS-hosted architecture provides scalable compute resources for on-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demand ML processing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2.2 Published Advanced Analytics Applications</w:t>
      </w:r>
    </w:p>
    <w:p>
      <w:pPr>
        <w:autoSpaceDN w:val="0"/>
        <w:autoSpaceDE w:val="0"/>
        <w:widowControl/>
        <w:spacing w:line="259" w:lineRule="auto" w:before="124" w:after="0"/>
        <w:ind w:left="2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Lithodat's team has published peer-reviewed research demonstrating advanced analytics applications using </w:t>
      </w:r>
      <w:r>
        <w:rPr>
          <w:rFonts w:ascii="Arial" w:hAnsi="Arial" w:eastAsia="Arial"/>
          <w:b w:val="0"/>
          <w:i w:val="0"/>
          <w:color w:val="333333"/>
          <w:sz w:val="21"/>
        </w:rPr>
        <w:t>EarthBank data:</w:t>
      </w:r>
    </w:p>
    <w:p>
      <w:pPr>
        <w:autoSpaceDN w:val="0"/>
        <w:autoSpaceDE w:val="0"/>
        <w:widowControl/>
        <w:spacing w:line="235" w:lineRule="auto" w:before="1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Machine Learning for Mineral Prospectivity</w:t>
      </w:r>
    </w:p>
    <w:p>
      <w:pPr>
        <w:autoSpaceDN w:val="0"/>
        <w:autoSpaceDE w:val="0"/>
        <w:widowControl/>
        <w:spacing w:line="266" w:lineRule="auto" w:before="110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Publication:</w:t>
      </w:r>
      <w:r>
        <w:rPr>
          <w:rFonts w:ascii="Arial" w:hAnsi="Arial" w:eastAsia="Arial"/>
          <w:b/>
          <w:i w:val="0"/>
          <w:color w:val="1F4E78"/>
          <w:sz w:val="21"/>
        </w:rPr>
        <w:hyperlink r:id="rId15" w:history="1">
          <w:r>
            <w:rPr>
              <w:rStyle w:val="Hyperlink"/>
            </w:rPr>
            <w:t xml:space="preserve">Farahbakhsh et al. (2025). Machine learning-based spatio-temporal prospectivity modeling of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15" w:history="1">
          <w:r>
            <w:rPr>
              <w:rStyle w:val="Hyperlink"/>
            </w:rPr>
            <w:t>porphyry systems. Tectonics.</w:t>
          </w:r>
        </w:hyperlink>
      </w:r>
    </w:p>
    <w:p>
      <w:pPr>
        <w:autoSpaceDN w:val="0"/>
        <w:autoSpaceDE w:val="0"/>
        <w:widowControl/>
        <w:spacing w:line="271" w:lineRule="auto" w:before="186" w:after="0"/>
        <w:ind w:left="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Application of machine learning algorithms to 4D geochemical and geochronological datasets from EarthBank,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demonstrating the platform's capability to support advanced ML-based mineral exploration targeting. This directly </w:t>
      </w:r>
      <w:r>
        <w:rPr>
          <w:rFonts w:ascii="Arial" w:hAnsi="Arial" w:eastAsia="Arial"/>
          <w:b w:val="0"/>
          <w:i w:val="0"/>
          <w:color w:val="333333"/>
          <w:sz w:val="21"/>
        </w:rPr>
        <w:t>addresses GDAC-SA's Phase 1 advanced analytics requirements.</w:t>
      </w:r>
    </w:p>
    <w:p>
      <w:pPr>
        <w:autoSpaceDN w:val="0"/>
        <w:autoSpaceDE w:val="0"/>
        <w:widowControl/>
        <w:spacing w:line="233" w:lineRule="auto" w:before="17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Big Data Thermochronology Analytics</w:t>
      </w:r>
    </w:p>
    <w:p>
      <w:pPr>
        <w:autoSpaceDN w:val="0"/>
        <w:autoSpaceDE w:val="0"/>
        <w:widowControl/>
        <w:spacing w:line="266" w:lineRule="auto" w:before="126" w:after="0"/>
        <w:ind w:left="2" w:right="1008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Publication:</w:t>
      </w:r>
      <w:r>
        <w:rPr>
          <w:rFonts w:ascii="Arial" w:hAnsi="Arial" w:eastAsia="Arial"/>
          <w:b/>
          <w:i w:val="0"/>
          <w:color w:val="1F4E78"/>
          <w:sz w:val="21"/>
        </w:rPr>
        <w:hyperlink r:id="rId16" w:history="1">
          <w:r>
            <w:rPr>
              <w:rStyle w:val="Hyperlink"/>
            </w:rPr>
            <w:t xml:space="preserve">Boone et al. (2023). A geospatial platform for tectonic interpretation of low-temperature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16" w:history="1">
          <w:r>
            <w:rPr>
              <w:rStyle w:val="Hyperlink"/>
            </w:rPr>
            <w:t>thermochronology Big Data. Scientific Reports, 12.</w:t>
          </w:r>
        </w:hyperlink>
      </w:r>
    </w:p>
    <w:p>
      <w:pPr>
        <w:autoSpaceDN w:val="0"/>
        <w:autoSpaceDE w:val="0"/>
        <w:widowControl/>
        <w:spacing w:line="278" w:lineRule="auto" w:before="170" w:after="0"/>
        <w:ind w:left="2" w:right="43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 team (Kohlmann, Noble, Theile) co-authored this publication demonstrating a geospatial platform for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processing and analyzing large-scale thermochronology datasets. The platform automatically processes analytical 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results and generates tectonic interpretations—showcasing the type of automated analytics GDAC-SA Phase 1 </w:t>
      </w:r>
      <w:r>
        <w:rPr>
          <w:rFonts w:ascii="Arial" w:hAnsi="Arial" w:eastAsia="Arial"/>
          <w:b w:val="0"/>
          <w:i w:val="0"/>
          <w:color w:val="333333"/>
          <w:sz w:val="21"/>
        </w:rPr>
        <w:t>envisions.</w:t>
      </w:r>
    </w:p>
    <w:p>
      <w:pPr>
        <w:autoSpaceDN w:val="0"/>
        <w:autoSpaceDE w:val="0"/>
        <w:widowControl/>
        <w:spacing w:line="233" w:lineRule="auto" w:before="1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Automated Analytical Workflows</w:t>
      </w:r>
    </w:p>
    <w:p>
      <w:pPr>
        <w:autoSpaceDN w:val="0"/>
        <w:autoSpaceDE w:val="0"/>
        <w:widowControl/>
        <w:spacing w:line="266" w:lineRule="auto" w:before="11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Publication:</w:t>
      </w:r>
      <w:r>
        <w:rPr>
          <w:rFonts w:ascii="Arial" w:hAnsi="Arial" w:eastAsia="Arial"/>
          <w:b/>
          <w:i w:val="0"/>
          <w:color w:val="1F4E78"/>
          <w:sz w:val="21"/>
        </w:rPr>
        <w:hyperlink r:id="rId17" w:history="1">
          <w:r>
            <w:rPr>
              <w:rStyle w:val="Hyperlink"/>
            </w:rPr>
            <w:t xml:space="preserve">Peternell et al. (2009). A new approach to crystallographic orientation measurement for apatite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17" w:history="1">
          <w:r>
            <w:rPr>
              <w:rStyle w:val="Hyperlink"/>
            </w:rPr>
            <w:t>fission track analysis: effects of crystal morphology and implications for automation. Chemical Geology, 265,</w:t>
          </w:r>
        </w:hyperlink>
      </w:r>
    </w:p>
    <w:p>
      <w:pPr>
        <w:sectPr>
          <w:pgSz w:w="11899" w:h="16838"/>
          <w:pgMar w:top="348" w:right="420" w:bottom="47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5" w:lineRule="auto" w:before="18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hyperlink r:id="rId17" w:history="1">
          <w:r>
            <w:rPr>
              <w:rStyle w:val="Hyperlink"/>
            </w:rPr>
            <w:t>527-539.</w:t>
          </w:r>
        </w:hyperlink>
      </w:r>
    </w:p>
    <w:p>
      <w:pPr>
        <w:autoSpaceDN w:val="0"/>
        <w:autoSpaceDE w:val="0"/>
        <w:widowControl/>
        <w:spacing w:line="259" w:lineRule="auto" w:before="184" w:after="0"/>
        <w:ind w:left="452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Fabian Kohlmann co-authored research on automation of apatite fission track analysis, demonstrating technical </w:t>
      </w:r>
      <w:r>
        <w:rPr>
          <w:rFonts w:ascii="Arial" w:hAnsi="Arial" w:eastAsia="Arial"/>
          <w:b w:val="0"/>
          <w:i w:val="0"/>
          <w:color w:val="333333"/>
          <w:sz w:val="21"/>
        </w:rPr>
        <w:t>innovation in analytical geochemistry workflows.</w:t>
      </w:r>
    </w:p>
    <w:p>
      <w:pPr>
        <w:autoSpaceDN w:val="0"/>
        <w:autoSpaceDE w:val="0"/>
        <w:widowControl/>
        <w:spacing w:line="233" w:lineRule="auto" w:before="252" w:after="88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2.3 ML Infrastructure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1906"/>
            <w:tcBorders>
              <w:start w:sz="5.599999999999994" w:val="single" w:color="#DDDDDD"/>
              <w:top w:sz="6.399999999999977" w:val="single" w:color="#DDDDDD"/>
              <w:end w:sz="5.600000000000023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ML Capability</w:t>
            </w:r>
          </w:p>
        </w:tc>
        <w:tc>
          <w:tcPr>
            <w:tcW w:type="dxa" w:w="4814"/>
            <w:tcBorders>
              <w:start w:sz="5.600000000000023" w:val="single" w:color="#DDDDDD"/>
              <w:top w:sz="6.399999999999977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EarthBank Implementation</w:t>
            </w:r>
          </w:p>
        </w:tc>
        <w:tc>
          <w:tcPr>
            <w:tcW w:type="dxa" w:w="4274"/>
            <w:tcBorders>
              <w:start w:sz="5.599999999999909" w:val="single" w:color="#DDDDDD"/>
              <w:top w:sz="6.399999999999977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GDAC-SA Applicability</w:t>
            </w:r>
          </w:p>
        </w:tc>
      </w:tr>
      <w:tr>
        <w:trPr>
          <w:trHeight w:hRule="exact" w:val="480"/>
        </w:trPr>
        <w:tc>
          <w:tcPr>
            <w:tcW w:type="dxa" w:w="1906"/>
            <w:tcBorders>
              <w:start w:sz="5.599999999999994" w:val="single" w:color="#DDDDDD"/>
              <w:top w:sz="6.400000000000091" w:val="single" w:color="#DDDDDD"/>
              <w:end w:sz="5.600000000000023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Data Pipelines</w:t>
            </w:r>
          </w:p>
        </w:tc>
        <w:tc>
          <w:tcPr>
            <w:tcW w:type="dxa" w:w="4814"/>
            <w:tcBorders>
              <w:start w:sz="5.600000000000023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Automated ingestion, QA/QC, and transformation</w:t>
            </w:r>
          </w:p>
        </w:tc>
        <w:tc>
          <w:tcPr>
            <w:tcW w:type="dxa" w:w="4274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Saudi datasets automated processing</w:t>
            </w:r>
          </w:p>
        </w:tc>
      </w:tr>
      <w:tr>
        <w:trPr>
          <w:trHeight w:hRule="exact" w:val="464"/>
        </w:trPr>
        <w:tc>
          <w:tcPr>
            <w:tcW w:type="dxa" w:w="1906"/>
            <w:tcBorders>
              <w:start w:sz="5.599999999999994" w:val="single" w:color="#DDDDDD"/>
              <w:top w:sz="6.400000000000091" w:val="single" w:color="#DDDDDD"/>
              <w:end w:sz="5.600000000000023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API-First Design</w:t>
            </w:r>
          </w:p>
        </w:tc>
        <w:tc>
          <w:tcPr>
            <w:tcW w:type="dxa" w:w="4814"/>
            <w:tcBorders>
              <w:start w:sz="5.600000000000023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REST API for Python, R, Julia integration</w:t>
            </w:r>
          </w:p>
        </w:tc>
        <w:tc>
          <w:tcPr>
            <w:tcW w:type="dxa" w:w="4274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Integration with GDAC analytics tools</w:t>
            </w:r>
          </w:p>
        </w:tc>
      </w:tr>
      <w:tr>
        <w:trPr>
          <w:trHeight w:hRule="exact" w:val="764"/>
        </w:trPr>
        <w:tc>
          <w:tcPr>
            <w:tcW w:type="dxa" w:w="1906"/>
            <w:tcBorders>
              <w:start w:sz="5.599999999999994" w:val="single" w:color="#DDDDDD"/>
              <w:top w:sz="6.400000000000091" w:val="single" w:color="#DDDDDD"/>
              <w:end w:sz="5.600000000000023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Spatial Analytics</w:t>
            </w:r>
          </w:p>
        </w:tc>
        <w:tc>
          <w:tcPr>
            <w:tcW w:type="dxa" w:w="4814"/>
            <w:tcBorders>
              <w:start w:sz="5.600000000000023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IDW interpolation, swath profiles, 3D visualization</w:t>
            </w:r>
          </w:p>
        </w:tc>
        <w:tc>
          <w:tcPr>
            <w:tcW w:type="dxa" w:w="4274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Mineral prospectivity mapping for Saudi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Arabia</w:t>
            </w:r>
          </w:p>
        </w:tc>
      </w:tr>
      <w:tr>
        <w:trPr>
          <w:trHeight w:hRule="exact" w:val="752"/>
        </w:trPr>
        <w:tc>
          <w:tcPr>
            <w:tcW w:type="dxa" w:w="1906"/>
            <w:tcBorders>
              <w:start w:sz="5.599999999999994" w:val="single" w:color="#DDDDDD"/>
              <w:top w:sz="5.599999999999909" w:val="single" w:color="#DDDDDD"/>
              <w:end w:sz="5.600000000000023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0" w:right="86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Temporal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Analytics</w:t>
            </w:r>
          </w:p>
        </w:tc>
        <w:tc>
          <w:tcPr>
            <w:tcW w:type="dxa" w:w="4814"/>
            <w:tcBorders>
              <w:start w:sz="5.600000000000023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12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LithoPlates: 11 plate models to 1.8 Ga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reconstruction</w:t>
            </w:r>
          </w:p>
        </w:tc>
        <w:tc>
          <w:tcPr>
            <w:tcW w:type="dxa" w:w="4274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Deep-time resource prediction modeling</w:t>
            </w:r>
          </w:p>
        </w:tc>
      </w:tr>
      <w:tr>
        <w:trPr>
          <w:trHeight w:hRule="exact" w:val="480"/>
        </w:trPr>
        <w:tc>
          <w:tcPr>
            <w:tcW w:type="dxa" w:w="1906"/>
            <w:tcBorders>
              <w:start w:sz="5.599999999999994" w:val="single" w:color="#DDDDDD"/>
              <w:top w:sz="6.400000000000091" w:val="single" w:color="#DDDDDD"/>
              <w:end w:sz="5.600000000000023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Cloud Compute</w:t>
            </w:r>
          </w:p>
        </w:tc>
        <w:tc>
          <w:tcPr>
            <w:tcW w:type="dxa" w:w="4814"/>
            <w:tcBorders>
              <w:start w:sz="5.600000000000023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AWS infrastructure with on-demand scaling</w:t>
            </w:r>
          </w:p>
        </w:tc>
        <w:tc>
          <w:tcPr>
            <w:tcW w:type="dxa" w:w="4274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Scalable ML model training infrastructure</w:t>
            </w:r>
          </w:p>
        </w:tc>
      </w:tr>
    </w:tbl>
    <w:p>
      <w:pPr>
        <w:autoSpaceDN w:val="0"/>
        <w:autoSpaceDE w:val="0"/>
        <w:widowControl/>
        <w:spacing w:line="233" w:lineRule="auto" w:before="274" w:after="24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3. Project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4509"/>
        <w:gridCol w:w="4509"/>
      </w:tblGrid>
      <w:tr>
        <w:trPr>
          <w:trHeight w:hRule="exact" w:val="466"/>
        </w:trPr>
        <w:tc>
          <w:tcPr>
            <w:tcW w:type="dxa" w:w="283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Attribute</w:t>
            </w:r>
          </w:p>
        </w:tc>
        <w:tc>
          <w:tcPr>
            <w:tcW w:type="dxa" w:w="816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Details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Project Name</w:t>
            </w:r>
          </w:p>
        </w:tc>
        <w:tc>
          <w:tcPr>
            <w:tcW w:type="dxa" w:w="81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EarthBank National Geoscience Data Platform (formerly AusGeochem)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Platform URL</w:t>
            </w:r>
          </w:p>
        </w:tc>
        <w:tc>
          <w:tcPr>
            <w:tcW w:type="dxa" w:w="81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hyperlink r:id="rId18" w:history="1">
                <w:r>
                  <w:rPr>
                    <w:rStyle w:val="Hyperlink"/>
                  </w:rPr>
                  <w:t>https://ausgeochem.auscope.org.au/</w:t>
                </w:r>
              </w:hyperlink>
            </w:r>
          </w:p>
        </w:tc>
      </w:tr>
      <w:tr>
        <w:trPr>
          <w:trHeight w:hRule="exact" w:val="464"/>
        </w:trPr>
        <w:tc>
          <w:tcPr>
            <w:tcW w:type="dxa" w:w="283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Project Location</w:t>
            </w:r>
          </w:p>
        </w:tc>
        <w:tc>
          <w:tcPr>
            <w:tcW w:type="dxa" w:w="81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Australia (nationwide) and international (public platform)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Client/Partner</w:t>
            </w:r>
          </w:p>
        </w:tc>
        <w:tc>
          <w:tcPr>
            <w:tcW w:type="dxa" w:w="81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AuScope Geochemistry Network (AGN)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Funding Body</w:t>
            </w:r>
          </w:p>
        </w:tc>
        <w:tc>
          <w:tcPr>
            <w:tcW w:type="dxa" w:w="81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NCRIS (National Collaborative Research Infrastructure Strategy)</w:t>
            </w:r>
          </w:p>
        </w:tc>
      </w:tr>
      <w:tr>
        <w:trPr>
          <w:trHeight w:hRule="exact" w:val="466"/>
        </w:trPr>
        <w:tc>
          <w:tcPr>
            <w:tcW w:type="dxa" w:w="283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Contract Value</w:t>
            </w:r>
          </w:p>
        </w:tc>
        <w:tc>
          <w:tcPr>
            <w:tcW w:type="dxa" w:w="81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$2,900,000 AUD (Initial: $450,000 Opportunity Fund 2021; Current Program: $19 million)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Contract Duration</w:t>
            </w:r>
          </w:p>
        </w:tc>
        <w:tc>
          <w:tcPr>
            <w:tcW w:type="dxa" w:w="8160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2019 – 2025 (ongoing)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Start Date</w:t>
            </w:r>
          </w:p>
        </w:tc>
        <w:tc>
          <w:tcPr>
            <w:tcW w:type="dxa" w:w="81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October 2019</w:t>
            </w:r>
          </w:p>
        </w:tc>
      </w:tr>
      <w:tr>
        <w:trPr>
          <w:trHeight w:hRule="exact" w:val="464"/>
        </w:trPr>
        <w:tc>
          <w:tcPr>
            <w:tcW w:type="dxa" w:w="283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Delivery/Completion</w:t>
            </w:r>
          </w:p>
        </w:tc>
        <w:tc>
          <w:tcPr>
            <w:tcW w:type="dxa" w:w="81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Ongoing (continuous development and expansion)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Project Lead (Lithodat)</w:t>
            </w:r>
          </w:p>
        </w:tc>
        <w:tc>
          <w:tcPr>
            <w:tcW w:type="dxa" w:w="81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Dr. Fabian Kohlmann – Managing Director</w:t>
            </w:r>
          </w:p>
        </w:tc>
      </w:tr>
      <w:tr>
        <w:trPr>
          <w:trHeight w:hRule="exact" w:val="480"/>
        </w:trPr>
        <w:tc>
          <w:tcPr>
            <w:tcW w:type="dxa" w:w="283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Technical Lead (Lithodat)</w:t>
            </w:r>
          </w:p>
        </w:tc>
        <w:tc>
          <w:tcPr>
            <w:tcW w:type="dxa" w:w="81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Wayne Noble – Technical Director</w:t>
            </w:r>
          </w:p>
        </w:tc>
      </w:tr>
      <w:tr>
        <w:trPr>
          <w:trHeight w:hRule="exact" w:val="466"/>
        </w:trPr>
        <w:tc>
          <w:tcPr>
            <w:tcW w:type="dxa" w:w="283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Operations Lead (Lithodat)</w:t>
            </w:r>
          </w:p>
        </w:tc>
        <w:tc>
          <w:tcPr>
            <w:tcW w:type="dxa" w:w="81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Moritz Theile – Operations Director</w:t>
            </w:r>
          </w:p>
        </w:tc>
      </w:tr>
      <w:tr>
        <w:trPr>
          <w:trHeight w:hRule="exact" w:val="1034"/>
        </w:trPr>
        <w:tc>
          <w:tcPr>
            <w:tcW w:type="dxa" w:w="283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0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Reference Contact</w:t>
            </w:r>
          </w:p>
        </w:tc>
        <w:tc>
          <w:tcPr>
            <w:tcW w:type="dxa" w:w="81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4" w:after="0"/>
              <w:ind w:left="120" w:right="38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Professor Brent McInnes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AuScope Earthbank Director, Curtin University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Email: b.mcinnes@curtin.edu.au</w:t>
            </w:r>
          </w:p>
        </w:tc>
      </w:tr>
    </w:tbl>
    <w:p>
      <w:pPr>
        <w:autoSpaceDN w:val="0"/>
        <w:autoSpaceDE w:val="0"/>
        <w:widowControl/>
        <w:spacing w:line="235" w:lineRule="auto" w:before="274" w:after="258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4. Key Platform Statistics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66"/>
        </w:trPr>
        <w:tc>
          <w:tcPr>
            <w:tcW w:type="dxa" w:w="2714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Metric</w:t>
            </w:r>
          </w:p>
        </w:tc>
        <w:tc>
          <w:tcPr>
            <w:tcW w:type="dxa" w:w="2910"/>
            <w:tcBorders>
              <w:start w:sz="6.400000000000091" w:val="single" w:color="#DDDDDD"/>
              <w:top w:sz="6.399999999999636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Value</w:t>
            </w:r>
          </w:p>
        </w:tc>
        <w:tc>
          <w:tcPr>
            <w:tcW w:type="dxa" w:w="5370"/>
            <w:tcBorders>
              <w:start w:sz="5.599999999999909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Significance for GDAC-SA</w:t>
            </w:r>
          </w:p>
        </w:tc>
      </w:tr>
      <w:tr>
        <w:trPr>
          <w:trHeight w:hRule="exact" w:val="480"/>
        </w:trPr>
        <w:tc>
          <w:tcPr>
            <w:tcW w:type="dxa" w:w="271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Analytical Results</w:t>
            </w:r>
          </w:p>
        </w:tc>
        <w:tc>
          <w:tcPr>
            <w:tcW w:type="dxa" w:w="2910"/>
            <w:tcBorders>
              <w:start w:sz="6.400000000000091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&gt;12 million integrated</w:t>
            </w:r>
          </w:p>
        </w:tc>
        <w:tc>
          <w:tcPr>
            <w:tcW w:type="dxa" w:w="537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Proven capability handling massive datasets</w:t>
            </w:r>
          </w:p>
        </w:tc>
      </w:tr>
      <w:tr>
        <w:trPr>
          <w:trHeight w:hRule="exact" w:val="460"/>
        </w:trPr>
        <w:tc>
          <w:tcPr>
            <w:tcW w:type="dxa" w:w="2714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Registered Samples</w:t>
            </w:r>
          </w:p>
        </w:tc>
        <w:tc>
          <w:tcPr>
            <w:tcW w:type="dxa" w:w="2910"/>
            <w:tcBorders>
              <w:start w:sz="6.400000000000091" w:val="single" w:color="#DDDDDD"/>
              <w:top w:sz="5.600000000000364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350,000+</w:t>
            </w:r>
          </w:p>
        </w:tc>
        <w:tc>
          <w:tcPr>
            <w:tcW w:type="dxa" w:w="5370"/>
            <w:tcBorders>
              <w:start w:sz="5.599999999999909" w:val="single" w:color="#DDDDDD"/>
              <w:top w:sz="5.600000000000364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Sample tracking and provenance at national scale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2714"/>
            <w:tcBorders>
              <w:start w:sz="5.599999999999994" w:val="single" w:color="#DDDDDD"/>
              <w:top w:sz="5.600000000000023" w:val="single" w:color="#DDDDDD"/>
              <w:end w:sz="6.400000000000091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Metric</w:t>
            </w:r>
          </w:p>
        </w:tc>
        <w:tc>
          <w:tcPr>
            <w:tcW w:type="dxa" w:w="2910"/>
            <w:tcBorders>
              <w:start w:sz="6.400000000000091" w:val="single" w:color="#DDDDDD"/>
              <w:top w:sz="5.600000000000023" w:val="single" w:color="#DDDDDD"/>
              <w:end w:sz="5.599999999999909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Value</w:t>
            </w:r>
          </w:p>
        </w:tc>
        <w:tc>
          <w:tcPr>
            <w:tcW w:type="dxa" w:w="5370"/>
            <w:tcBorders>
              <w:start w:sz="5.599999999999909" w:val="single" w:color="#DDDDDD"/>
              <w:top w:sz="5.600000000000023" w:val="single" w:color="#DDDDDD"/>
              <w:end w:sz="6.399999999999636" w:val="single" w:color="#DDDDDD"/>
              <w:bottom w:sz="5.600000000000023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Significance for GDAC-SA</w:t>
            </w:r>
          </w:p>
        </w:tc>
      </w:tr>
      <w:tr>
        <w:trPr>
          <w:trHeight w:hRule="exact" w:val="466"/>
        </w:trPr>
        <w:tc>
          <w:tcPr>
            <w:tcW w:type="dxa" w:w="2714"/>
            <w:tcBorders>
              <w:start w:sz="5.599999999999994" w:val="single" w:color="#DDDDDD"/>
              <w:top w:sz="5.600000000000023" w:val="single" w:color="#DDDDDD"/>
              <w:end w:sz="6.400000000000091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Registered Users</w:t>
            </w:r>
          </w:p>
        </w:tc>
        <w:tc>
          <w:tcPr>
            <w:tcW w:type="dxa" w:w="2910"/>
            <w:tcBorders>
              <w:start w:sz="6.400000000000091" w:val="single" w:color="#DDDDDD"/>
              <w:top w:sz="5.600000000000023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1,300+</w:t>
            </w:r>
          </w:p>
        </w:tc>
        <w:tc>
          <w:tcPr>
            <w:tcW w:type="dxa" w:w="5370"/>
            <w:tcBorders>
              <w:start w:sz="5.599999999999909" w:val="single" w:color="#DDDDDD"/>
              <w:top w:sz="5.600000000000023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Multi-user collaboration infrastructure</w:t>
            </w:r>
          </w:p>
        </w:tc>
      </w:tr>
      <w:tr>
        <w:trPr>
          <w:trHeight w:hRule="exact" w:val="480"/>
        </w:trPr>
        <w:tc>
          <w:tcPr>
            <w:tcW w:type="dxa" w:w="2714"/>
            <w:tcBorders>
              <w:start w:sz="5.599999999999994" w:val="single" w:color="#DDDDDD"/>
              <w:top w:sz="6.399999999999977" w:val="single" w:color="#DDDDDD"/>
              <w:end w:sz="6.400000000000091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Partner Universities</w:t>
            </w:r>
          </w:p>
        </w:tc>
        <w:tc>
          <w:tcPr>
            <w:tcW w:type="dxa" w:w="2910"/>
            <w:tcBorders>
              <w:start w:sz="6.400000000000091" w:val="single" w:color="#DDDDDD"/>
              <w:top w:sz="6.399999999999977" w:val="single" w:color="#DDDDDD"/>
              <w:end w:sz="5.599999999999909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10+ Australian institutions</w:t>
            </w:r>
          </w:p>
        </w:tc>
        <w:tc>
          <w:tcPr>
            <w:tcW w:type="dxa" w:w="5370"/>
            <w:tcBorders>
              <w:start w:sz="5.599999999999909" w:val="single" w:color="#DDDDDD"/>
              <w:top w:sz="6.399999999999977" w:val="single" w:color="#DDDDDD"/>
              <w:end w:sz="6.399999999999636" w:val="single" w:color="#DDDDDD"/>
              <w:bottom w:sz="6.39999999999997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Multi-agency collaboration framework</w:t>
            </w:r>
          </w:p>
        </w:tc>
      </w:tr>
      <w:tr>
        <w:trPr>
          <w:trHeight w:hRule="exact" w:val="480"/>
        </w:trPr>
        <w:tc>
          <w:tcPr>
            <w:tcW w:type="dxa" w:w="2714"/>
            <w:tcBorders>
              <w:start w:sz="5.599999999999994" w:val="single" w:color="#DDDDDD"/>
              <w:top w:sz="6.399999999999977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Data Types Supported</w:t>
            </w:r>
          </w:p>
        </w:tc>
        <w:tc>
          <w:tcPr>
            <w:tcW w:type="dxa" w:w="2910"/>
            <w:tcBorders>
              <w:start w:sz="6.400000000000091" w:val="single" w:color="#DDDDDD"/>
              <w:top w:sz="6.399999999999977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 major analytical types</w:t>
            </w:r>
          </w:p>
        </w:tc>
        <w:tc>
          <w:tcPr>
            <w:tcW w:type="dxa" w:w="5370"/>
            <w:tcBorders>
              <w:start w:sz="5.599999999999909" w:val="single" w:color="#DDDDDD"/>
              <w:top w:sz="6.399999999999977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Unified multi-modal data architecture</w:t>
            </w:r>
          </w:p>
        </w:tc>
      </w:tr>
      <w:tr>
        <w:trPr>
          <w:trHeight w:hRule="exact" w:val="464"/>
        </w:trPr>
        <w:tc>
          <w:tcPr>
            <w:tcW w:type="dxa" w:w="271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System Uptime</w:t>
            </w:r>
          </w:p>
        </w:tc>
        <w:tc>
          <w:tcPr>
            <w:tcW w:type="dxa" w:w="291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100% SLA met</w:t>
            </w:r>
          </w:p>
        </w:tc>
        <w:tc>
          <w:tcPr>
            <w:tcW w:type="dxa" w:w="537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Enterprise-grade reliability</w:t>
            </w:r>
          </w:p>
        </w:tc>
      </w:tr>
      <w:tr>
        <w:trPr>
          <w:trHeight w:hRule="exact" w:val="480"/>
        </w:trPr>
        <w:tc>
          <w:tcPr>
            <w:tcW w:type="dxa" w:w="271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0"/>
              </w:rPr>
              <w:t>Certifications</w:t>
            </w:r>
          </w:p>
        </w:tc>
        <w:tc>
          <w:tcPr>
            <w:tcW w:type="dxa" w:w="291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CoreTrustSeal, FAIR</w:t>
            </w:r>
          </w:p>
        </w:tc>
        <w:tc>
          <w:tcPr>
            <w:tcW w:type="dxa" w:w="537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International data quality standards</w:t>
            </w:r>
          </w:p>
        </w:tc>
      </w:tr>
    </w:tbl>
    <w:p>
      <w:pPr>
        <w:autoSpaceDN w:val="0"/>
        <w:autoSpaceDE w:val="0"/>
        <w:widowControl/>
        <w:spacing w:line="235" w:lineRule="auto" w:before="276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5. Technical Architecture</w:t>
      </w:r>
    </w:p>
    <w:p>
      <w:pPr>
        <w:autoSpaceDN w:val="0"/>
        <w:autoSpaceDE w:val="0"/>
        <w:widowControl/>
        <w:spacing w:line="293" w:lineRule="auto" w:before="330" w:after="150"/>
        <w:ind w:left="452" w:right="4032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 xml:space="preserve">5.1 Data Models </w:t>
      </w:r>
      <w:r>
        <w:br/>
      </w:r>
      <w:r>
        <w:rPr>
          <w:rFonts w:ascii="Arial" w:hAnsi="Arial" w:eastAsia="Arial"/>
          <w:b w:val="0"/>
          <w:i w:val="0"/>
          <w:color w:val="333333"/>
          <w:sz w:val="21"/>
        </w:rPr>
        <w:t>EarthBank implements unified data models across multiple analytical domains: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3006"/>
        <w:gridCol w:w="3006"/>
        <w:gridCol w:w="3006"/>
      </w:tblGrid>
      <w:tr>
        <w:trPr>
          <w:trHeight w:hRule="exact" w:val="480"/>
        </w:trPr>
        <w:tc>
          <w:tcPr>
            <w:tcW w:type="dxa" w:w="379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Data Type</w:t>
            </w:r>
          </w:p>
        </w:tc>
        <w:tc>
          <w:tcPr>
            <w:tcW w:type="dxa" w:w="1710"/>
            <w:tcBorders>
              <w:start w:sz="6.400000000000091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Status</w:t>
            </w:r>
          </w:p>
        </w:tc>
        <w:tc>
          <w:tcPr>
            <w:tcW w:type="dxa" w:w="549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Technical Details</w:t>
            </w:r>
          </w:p>
        </w:tc>
      </w:tr>
      <w:tr>
        <w:trPr>
          <w:trHeight w:hRule="exact" w:val="750"/>
        </w:trPr>
        <w:tc>
          <w:tcPr>
            <w:tcW w:type="dxa" w:w="379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U/Pb Geochronology</w:t>
            </w:r>
          </w:p>
        </w:tc>
        <w:tc>
          <w:tcPr>
            <w:tcW w:type="dxa" w:w="1710"/>
            <w:tcBorders>
              <w:start w:sz="6.400000000000091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16" w:right="288" w:firstLine="0"/>
              <w:jc w:val="left"/>
            </w:pPr>
            <w:r>
              <w:rPr>
                <w:w w:val="98.46153846153845"/>
                <w:rFonts w:ascii="helv" w:hAnsi="helv" w:eastAsia="helv"/>
                <w:b w:val="0"/>
                <w:i w:val="0"/>
                <w:color w:val="333333"/>
                <w:sz w:val="16"/>
              </w:rPr>
              <w:t>✅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549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Zircon, apatite, monazite dating</w:t>
            </w:r>
          </w:p>
        </w:tc>
      </w:tr>
      <w:tr>
        <w:trPr>
          <w:trHeight w:hRule="exact" w:val="764"/>
        </w:trPr>
        <w:tc>
          <w:tcPr>
            <w:tcW w:type="dxa" w:w="379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Fission Track</w:t>
            </w:r>
          </w:p>
        </w:tc>
        <w:tc>
          <w:tcPr>
            <w:tcW w:type="dxa" w:w="171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16" w:right="288" w:firstLine="0"/>
              <w:jc w:val="left"/>
            </w:pPr>
            <w:r>
              <w:rPr>
                <w:w w:val="98.46153846153845"/>
                <w:rFonts w:ascii="helv" w:hAnsi="helv" w:eastAsia="helv"/>
                <w:b w:val="0"/>
                <w:i w:val="0"/>
                <w:color w:val="333333"/>
                <w:sz w:val="16"/>
              </w:rPr>
              <w:t>✅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549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Apatite, zircon thermochronology</w:t>
            </w:r>
          </w:p>
        </w:tc>
      </w:tr>
      <w:tr>
        <w:trPr>
          <w:trHeight w:hRule="exact" w:val="750"/>
        </w:trPr>
        <w:tc>
          <w:tcPr>
            <w:tcW w:type="dxa" w:w="379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(U-Th-Sm)/He Thermochronology</w:t>
            </w:r>
          </w:p>
        </w:tc>
        <w:tc>
          <w:tcPr>
            <w:tcW w:type="dxa" w:w="171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" w:after="0"/>
              <w:ind w:left="116" w:right="288" w:firstLine="0"/>
              <w:jc w:val="left"/>
            </w:pPr>
            <w:r>
              <w:rPr>
                <w:w w:val="98.46153846153845"/>
                <w:rFonts w:ascii="helv" w:hAnsi="helv" w:eastAsia="helv"/>
                <w:b w:val="0"/>
                <w:i w:val="0"/>
                <w:color w:val="333333"/>
                <w:sz w:val="16"/>
              </w:rPr>
              <w:t>✅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549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Low-temperature cooling history</w:t>
            </w:r>
          </w:p>
        </w:tc>
      </w:tr>
      <w:tr>
        <w:trPr>
          <w:trHeight w:hRule="exact" w:val="750"/>
        </w:trPr>
        <w:tc>
          <w:tcPr>
            <w:tcW w:type="dxa" w:w="379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40Ar/39Ar Geochronology</w:t>
            </w:r>
          </w:p>
        </w:tc>
        <w:tc>
          <w:tcPr>
            <w:tcW w:type="dxa" w:w="1710"/>
            <w:tcBorders>
              <w:start w:sz="6.400000000000091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16" w:right="288" w:firstLine="0"/>
              <w:jc w:val="left"/>
            </w:pPr>
            <w:r>
              <w:rPr>
                <w:w w:val="98.46153846153845"/>
                <w:rFonts w:ascii="helv" w:hAnsi="helv" w:eastAsia="helv"/>
                <w:b w:val="0"/>
                <w:i w:val="0"/>
                <w:color w:val="333333"/>
                <w:sz w:val="16"/>
              </w:rPr>
              <w:t>✅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549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High-temperature dating</w:t>
            </w:r>
          </w:p>
        </w:tc>
      </w:tr>
      <w:tr>
        <w:trPr>
          <w:trHeight w:hRule="exact" w:val="766"/>
        </w:trPr>
        <w:tc>
          <w:tcPr>
            <w:tcW w:type="dxa" w:w="379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Inorganic Major/Trace Geochemistry</w:t>
            </w:r>
          </w:p>
        </w:tc>
        <w:tc>
          <w:tcPr>
            <w:tcW w:type="dxa" w:w="171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116" w:right="288" w:firstLine="0"/>
              <w:jc w:val="left"/>
            </w:pPr>
            <w:r>
              <w:rPr>
                <w:w w:val="98.46153846153845"/>
                <w:rFonts w:ascii="helv" w:hAnsi="helv" w:eastAsia="helv"/>
                <w:b w:val="0"/>
                <w:i w:val="0"/>
                <w:color w:val="333333"/>
                <w:sz w:val="16"/>
              </w:rPr>
              <w:t>✅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549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Elemental concentrations (μg/g), oxide concentrations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(wt%)</w:t>
            </w:r>
          </w:p>
        </w:tc>
      </w:tr>
      <w:tr>
        <w:trPr>
          <w:trHeight w:hRule="exact" w:val="750"/>
        </w:trPr>
        <w:tc>
          <w:tcPr>
            <w:tcW w:type="dxa" w:w="3794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Thermal Histories</w:t>
            </w:r>
          </w:p>
        </w:tc>
        <w:tc>
          <w:tcPr>
            <w:tcW w:type="dxa" w:w="1710"/>
            <w:tcBorders>
              <w:start w:sz="6.400000000000091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" w:after="0"/>
              <w:ind w:left="116" w:right="288" w:firstLine="0"/>
              <w:jc w:val="left"/>
            </w:pPr>
            <w:r>
              <w:rPr>
                <w:w w:val="98.46153846153845"/>
                <w:rFonts w:ascii="helv" w:hAnsi="helv" w:eastAsia="helv"/>
                <w:b w:val="0"/>
                <w:i w:val="0"/>
                <w:color w:val="333333"/>
                <w:sz w:val="16"/>
              </w:rPr>
              <w:t>✅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Implemented</w:t>
            </w:r>
          </w:p>
        </w:tc>
        <w:tc>
          <w:tcPr>
            <w:tcW w:type="dxa" w:w="549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Kinetic models, time-temperature paths</w:t>
            </w:r>
          </w:p>
        </w:tc>
      </w:tr>
      <w:tr>
        <w:trPr>
          <w:trHeight w:hRule="exact" w:val="750"/>
        </w:trPr>
        <w:tc>
          <w:tcPr>
            <w:tcW w:type="dxa" w:w="3794"/>
            <w:tcBorders>
              <w:start w:sz="5.599999999999994" w:val="single" w:color="#DDDDDD"/>
              <w:top w:sz="6.400000000000091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2" w:after="0"/>
              <w:ind w:left="12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Ar/Ar, K-Ar, Lu-Hf, Rb-Sr, Sm-Nd, Re-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Os</w:t>
            </w:r>
          </w:p>
        </w:tc>
        <w:tc>
          <w:tcPr>
            <w:tcW w:type="dxa" w:w="1710"/>
            <w:tcBorders>
              <w:start w:sz="6.400000000000091" w:val="single" w:color="#DDDDDD"/>
              <w:top w:sz="6.400000000000091" w:val="single" w:color="#DDDDDD"/>
              <w:end w:sz="5.599999999999909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8" w:after="0"/>
              <w:ind w:left="116" w:right="0" w:firstLine="0"/>
              <w:jc w:val="left"/>
            </w:pPr>
            <w:r>
              <w:rPr>
                <w:w w:val="98.46153846153845"/>
                <w:rFonts w:ascii="helv" w:hAnsi="helv" w:eastAsia="helv"/>
                <w:b w:val="0"/>
                <w:i w:val="0"/>
                <w:color w:val="333333"/>
                <w:sz w:val="16"/>
              </w:rPr>
              <w:t>🔄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 Planned</w:t>
            </w:r>
          </w:p>
        </w:tc>
        <w:tc>
          <w:tcPr>
            <w:tcW w:type="dxa" w:w="549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Expansion roadmap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6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5.2 Platform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744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60" w:after="0"/>
              <w:ind w:left="92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Map View: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Interactive spatial visualization with multiple basemaps (satellite, geology, topography)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3D View: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Globe view and terrain visualization with analytical data overlay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Data Packages: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Project-based data organization with granular sharing controls and permissions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Analytical Layers: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Technique-specific data filtering and visualization dashboards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LithoPlates: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Paleogeographic reconstruction tool (11 different plate tectonic models, time steps to 1.8 Ga)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3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</wp:posOffset>
            </wp:positionH>
            <wp:positionV relativeFrom="page">
              <wp:posOffset>438150</wp:posOffset>
            </wp:positionV>
            <wp:extent cx="6972300" cy="391526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9152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4178300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8648700</wp:posOffset>
            </wp:positionV>
            <wp:extent cx="292100" cy="1143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</wp:posOffset>
            </wp:positionH>
            <wp:positionV relativeFrom="page">
              <wp:posOffset>5867400</wp:posOffset>
            </wp:positionV>
            <wp:extent cx="6972300" cy="349855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4985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8813800</wp:posOffset>
            </wp:positionV>
            <wp:extent cx="190500" cy="76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8648700</wp:posOffset>
            </wp:positionV>
            <wp:extent cx="482600" cy="1143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6432" w:after="0"/>
        <w:ind w:left="432" w:right="432" w:firstLine="0"/>
        <w:jc w:val="center"/>
      </w:pPr>
      <w:r>
        <w:rPr>
          <w:rFonts w:ascii="Arial" w:hAnsi="Arial" w:eastAsia="Arial"/>
          <w:b/>
          <w:i w:val="0"/>
          <w:color w:val="1F4E78"/>
          <w:sz w:val="18"/>
        </w:rPr>
        <w:t>Figure 1:</w:t>
      </w:r>
      <w:r>
        <w:rPr>
          <w:rFonts w:ascii="Arial" w:hAnsi="Arial" w:eastAsia="Arial"/>
          <w:b w:val="0"/>
          <w:i/>
          <w:color w:val="666666"/>
          <w:sz w:val="18"/>
        </w:rPr>
        <w:t xml:space="preserve"> EarthBank's LithoPlates feature enables deep-time paleogeographic reconstruction of geochemical data using 11 different plate </w:t>
      </w:r>
      <w:r>
        <w:rPr>
          <w:rFonts w:ascii="Arial" w:hAnsi="Arial" w:eastAsia="Arial"/>
          <w:b w:val="0"/>
          <w:i/>
          <w:color w:val="666666"/>
          <w:sz w:val="18"/>
        </w:rPr>
        <w:t xml:space="preserve">tectonic models. This 4D capability (x, y, z, time) supports temporal machine learning models for mineral prospectivity analysis—directly </w:t>
      </w:r>
      <w:r>
        <w:rPr>
          <w:rFonts w:ascii="Arial" w:hAnsi="Arial" w:eastAsia="Arial"/>
          <w:b w:val="0"/>
          <w:i/>
          <w:color w:val="666666"/>
          <w:sz w:val="18"/>
        </w:rPr>
        <w:t>applicable to GDAC-SA's advanced analytics requirements.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296" w:after="64"/>
        <w:ind w:left="52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Interpolation: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On-the-fly Inverse Distance Weighting (IDW) interpolation for creating continuous geochemical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maps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" w:type="dxa"/>
      </w:tblPr>
      <w:tblGrid>
        <w:gridCol w:w="4509"/>
        <w:gridCol w:w="4509"/>
      </w:tblGrid>
      <w:tr>
        <w:trPr>
          <w:trHeight w:hRule="exact" w:val="588"/>
        </w:trPr>
        <w:tc>
          <w:tcPr>
            <w:tcW w:type="dxa" w:w="202"/>
            <w:tcBorders>
              <w:start w:sz="6.0" w:val="single" w:color="#DDDDDD"/>
              <w:bottom w:sz="6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48"/>
            <w:tcBorders>
              <w:bottom w:sz="6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Swath Profiles: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Elevation and sample profile analysis along user-defined transects</w:t>
            </w:r>
          </w:p>
        </w:tc>
      </w:tr>
      <w:tr>
        <w:trPr>
          <w:trHeight w:hRule="exact" w:val="5476"/>
        </w:trPr>
        <w:tc>
          <w:tcPr>
            <w:tcW w:type="dxa" w:w="202"/>
            <w:tcBorders>
              <w:start w:sz="6.0" w:val="single" w:color="#DDDDDD"/>
              <w:top w:sz="6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8"/>
            <w:tcBorders>
              <w:top w:sz="6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auto" w:before="234" w:after="0"/>
        <w:ind w:left="864" w:right="864" w:firstLine="0"/>
        <w:jc w:val="center"/>
      </w:pPr>
      <w:r>
        <w:rPr>
          <w:rFonts w:ascii="Arial" w:hAnsi="Arial" w:eastAsia="Arial"/>
          <w:b/>
          <w:i w:val="0"/>
          <w:color w:val="1F4E78"/>
          <w:sz w:val="18"/>
        </w:rPr>
        <w:t>Figure 2:</w:t>
      </w:r>
      <w:r>
        <w:rPr>
          <w:rFonts w:ascii="Arial" w:hAnsi="Arial" w:eastAsia="Arial"/>
          <w:b w:val="0"/>
          <w:i/>
          <w:color w:val="666666"/>
          <w:sz w:val="18"/>
        </w:rPr>
        <w:t xml:space="preserve"> EarthBank's swath profile tool enables elevation and geochemical analysis along user-defined transects. This feature </w:t>
      </w:r>
      <w:r>
        <w:rPr>
          <w:rFonts w:ascii="Arial" w:hAnsi="Arial" w:eastAsia="Arial"/>
          <w:b w:val="0"/>
          <w:i/>
          <w:color w:val="666666"/>
          <w:sz w:val="18"/>
        </w:rPr>
        <w:t xml:space="preserve">demonstrates the platform's advanced spatial analytics capabilities for mineral exploration and tectonic interpretation—essential </w:t>
      </w:r>
      <w:r>
        <w:rPr>
          <w:rFonts w:ascii="Arial" w:hAnsi="Arial" w:eastAsia="Arial"/>
          <w:b w:val="0"/>
          <w:i/>
          <w:color w:val="666666"/>
          <w:sz w:val="18"/>
        </w:rPr>
        <w:t>functionality for GDAC-SA Phase 1 advanced analytics.</w:t>
      </w:r>
    </w:p>
    <w:p>
      <w:pPr>
        <w:sectPr>
          <w:pgSz w:w="11899" w:h="16838"/>
          <w:pgMar w:top="310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DOI Minting: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Digital Object Identifier generation for published datasets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IGSN Minting: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International Geo Sample Number registration for sample provenance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REST API: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Full programmatic access for machine-to-machine interoperability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Shapefile Export: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GIS-compatible data export for integration with external tools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5.3 Infrastructure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Cloud Architecture: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100% AWS-hosted (Elastic Compute, RDS PostgreSQL, S3 storage)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Database: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Custom SKOS-format relational database with hierarchical data models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Security: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ISO security alignment, role-based access control, encrypted data transmission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Scalability: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Auto-scaling infrastructure to handle increasing data volumes and user concurrency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API: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REST API with comprehensive documentation and programmatic access</w:t>
      </w:r>
    </w:p>
    <w:p>
      <w:pPr>
        <w:autoSpaceDN w:val="0"/>
        <w:autoSpaceDE w:val="0"/>
        <w:widowControl/>
        <w:spacing w:line="235" w:lineRule="auto" w:before="3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6. Project Performance Evaluation</w:t>
      </w:r>
    </w:p>
    <w:p>
      <w:pPr>
        <w:autoSpaceDN w:val="0"/>
        <w:autoSpaceDE w:val="0"/>
        <w:widowControl/>
        <w:spacing w:line="233" w:lineRule="auto" w:before="33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6.1 Overall Performance Rating</w:t>
      </w:r>
    </w:p>
    <w:p>
      <w:pPr>
        <w:autoSpaceDN w:val="0"/>
        <w:autoSpaceDE w:val="0"/>
        <w:widowControl/>
        <w:spacing w:line="233" w:lineRule="auto" w:before="296" w:after="0"/>
        <w:ind w:left="288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Performance Rating: Excellent (5/5)</w:t>
      </w:r>
    </w:p>
    <w:p>
      <w:pPr>
        <w:autoSpaceDN w:val="0"/>
        <w:autoSpaceDE w:val="0"/>
        <w:widowControl/>
        <w:spacing w:line="233" w:lineRule="auto" w:before="46" w:after="498"/>
        <w:ind w:left="288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100% successful delivery across all project milestones from 2019-2025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80"/>
        </w:trPr>
        <w:tc>
          <w:tcPr>
            <w:tcW w:type="dxa" w:w="2386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Performance Metric</w:t>
            </w:r>
          </w:p>
        </w:tc>
        <w:tc>
          <w:tcPr>
            <w:tcW w:type="dxa" w:w="1184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Rating</w:t>
            </w:r>
          </w:p>
        </w:tc>
        <w:tc>
          <w:tcPr>
            <w:tcW w:type="dxa" w:w="742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Evidence</w:t>
            </w:r>
          </w:p>
        </w:tc>
      </w:tr>
      <w:tr>
        <w:trPr>
          <w:trHeight w:hRule="exact" w:val="464"/>
        </w:trPr>
        <w:tc>
          <w:tcPr>
            <w:tcW w:type="dxa" w:w="2386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On-Time Delivery</w:t>
            </w:r>
          </w:p>
        </w:tc>
        <w:tc>
          <w:tcPr>
            <w:tcW w:type="dxa" w:w="1184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42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100% of milestones delivered on schedule (2019-2025)</w:t>
            </w:r>
          </w:p>
        </w:tc>
      </w:tr>
      <w:tr>
        <w:trPr>
          <w:trHeight w:hRule="exact" w:val="480"/>
        </w:trPr>
        <w:tc>
          <w:tcPr>
            <w:tcW w:type="dxa" w:w="2386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Technical Quality</w:t>
            </w:r>
          </w:p>
        </w:tc>
        <w:tc>
          <w:tcPr>
            <w:tcW w:type="dxa" w:w="1184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42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CoreTrustSeal certification, FAIR compliance, peer-reviewed publication</w:t>
            </w:r>
          </w:p>
        </w:tc>
      </w:tr>
      <w:tr>
        <w:trPr>
          <w:trHeight w:hRule="exact" w:val="480"/>
        </w:trPr>
        <w:tc>
          <w:tcPr>
            <w:tcW w:type="dxa" w:w="2386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Client Satisfaction</w:t>
            </w:r>
          </w:p>
        </w:tc>
        <w:tc>
          <w:tcPr>
            <w:tcW w:type="dxa" w:w="1184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42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6+ years continuous engagement, ongoing contract renewals</w:t>
            </w:r>
          </w:p>
        </w:tc>
      </w:tr>
      <w:tr>
        <w:trPr>
          <w:trHeight w:hRule="exact" w:val="466"/>
        </w:trPr>
        <w:tc>
          <w:tcPr>
            <w:tcW w:type="dxa" w:w="2386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Budget Compliance</w:t>
            </w:r>
          </w:p>
        </w:tc>
        <w:tc>
          <w:tcPr>
            <w:tcW w:type="dxa" w:w="1184"/>
            <w:tcBorders>
              <w:start w:sz="5.599999999999909" w:val="single" w:color="#DDDDDD"/>
              <w:top w:sz="6.400000000000091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Excellent</w:t>
            </w:r>
          </w:p>
        </w:tc>
        <w:tc>
          <w:tcPr>
            <w:tcW w:type="dxa" w:w="7424"/>
            <w:tcBorders>
              <w:start w:sz="6.400000000000091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Delivered within budget, expanded to $19M program funding</w:t>
            </w:r>
          </w:p>
        </w:tc>
      </w:tr>
    </w:tbl>
    <w:p>
      <w:pPr>
        <w:autoSpaceDN w:val="0"/>
        <w:autoSpaceDE w:val="0"/>
        <w:widowControl/>
        <w:spacing w:line="233" w:lineRule="auto" w:before="20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6.2 Key Performance Outcomes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100% on-time delivery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of all milestones (2019-2025)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Successfully integrated &gt;12 million analytical results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across multiple data types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Achieved CoreTrustSeal certification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(highest global data repository standard)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FAIR compliance certification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(Findable, Accessible, Interoperable, Reusable)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Ongoing contract renewals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demonstrate sustained client satisfaction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Zero critical defects</w:t>
      </w:r>
      <w:r>
        <w:rPr>
          <w:rFonts w:ascii="Arial" w:hAnsi="Arial" w:eastAsia="Arial"/>
          <w:b w:val="0"/>
          <w:i w:val="0"/>
          <w:color w:val="333333"/>
          <w:sz w:val="21"/>
        </w:rPr>
        <w:t>, 100% system uptime SLA met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Multi-agency data integration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(federal + state geological surveys)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ISO security alignment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for secure data management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30316742081449"/>
          <w:rFonts w:ascii="helv" w:hAnsi="helv" w:eastAsia="helv"/>
          <w:b w:val="0"/>
          <w:i w:val="0"/>
          <w:color w:val="333333"/>
          <w:sz w:val="17"/>
        </w:rPr>
        <w:t>✅</w:t>
      </w:r>
      <w:r>
        <w:rPr>
          <w:rFonts w:ascii="Arial" w:hAnsi="Arial" w:eastAsia="Arial"/>
          <w:b/>
          <w:i w:val="0"/>
          <w:color w:val="1F4E78"/>
          <w:sz w:val="21"/>
        </w:rPr>
        <w:t>International recognition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through peer-reviewed publication in Chemical Geology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6.3 Client Satisfaction Indicators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2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Contract Duration: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6+ years of continuous engagement (2019-2025 ongoing)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Contract Renewals: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Multiple renewals demonstrate exceptional satisfaction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Funding Expansion: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Program expanded from $450K initial funding to $19M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System Adoption: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Platform actively used by 1,300+ members of Australian geological community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Certification Achievement: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CoreTrustSeal certification validates world-class quality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Reference Availability: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Prof. Brent McInnes available to verify performance</w:t>
      </w:r>
    </w:p>
    <w:p>
      <w:pPr>
        <w:autoSpaceDN w:val="0"/>
        <w:autoSpaceDE w:val="0"/>
        <w:widowControl/>
        <w:spacing w:line="235" w:lineRule="auto" w:before="30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7. Published Case Studies</w:t>
      </w:r>
    </w:p>
    <w:p>
      <w:pPr>
        <w:sectPr>
          <w:pgSz w:w="11899" w:h="16838"/>
          <w:pgMar w:top="348" w:right="420" w:bottom="38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7.1 Chemical Geology Peer-Reviewed Publication (2025)</w:t>
      </w:r>
    </w:p>
    <w:p>
      <w:pPr>
        <w:autoSpaceDN w:val="0"/>
        <w:autoSpaceDE w:val="0"/>
        <w:widowControl/>
        <w:spacing w:line="271" w:lineRule="auto" w:before="124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Citation:</w:t>
      </w:r>
      <w:r>
        <w:rPr>
          <w:rFonts w:ascii="Arial" w:hAnsi="Arial" w:eastAsia="Arial"/>
          <w:b/>
          <w:i w:val="0"/>
          <w:color w:val="1F4E78"/>
          <w:sz w:val="21"/>
        </w:rPr>
        <w:hyperlink r:id="rId28" w:history="1">
          <w:r>
            <w:rPr>
              <w:rStyle w:val="Hyperlink"/>
            </w:rPr>
            <w:t xml:space="preserve">Nixon, A.L., Boone, S.C., Gréau, Y., Kohlmann, F., Theile, M., Noble, W., et al. (2025). Volcanoes to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28" w:history="1">
          <w:r>
            <w:rPr>
              <w:rStyle w:val="Hyperlink"/>
            </w:rPr>
            <w:t xml:space="preserve">vugs: Demonstrating a FAIR geochemistry framework with a diverse application of major and trace element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28" w:history="1">
          <w:r>
            <w:rPr>
              <w:rStyle w:val="Hyperlink"/>
            </w:rPr>
            <w:t>data through the AuScope EarthBank platform. Chemical Geology, 696, 123092.</w:t>
          </w:r>
        </w:hyperlink>
      </w:r>
    </w:p>
    <w:p>
      <w:pPr>
        <w:autoSpaceDN w:val="0"/>
        <w:autoSpaceDE w:val="0"/>
        <w:widowControl/>
        <w:spacing w:line="266" w:lineRule="auto" w:before="170" w:after="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This peer-reviewed publication in a high-impact geoscience journal demonstrates three real-world applications of the </w:t>
      </w:r>
      <w:r>
        <w:rPr>
          <w:rFonts w:ascii="Arial" w:hAnsi="Arial" w:eastAsia="Arial"/>
          <w:b w:val="0"/>
          <w:i w:val="0"/>
          <w:color w:val="333333"/>
          <w:sz w:val="21"/>
        </w:rPr>
        <w:t>EarthBank platform:</w:t>
      </w:r>
    </w:p>
    <w:p>
      <w:pPr>
        <w:autoSpaceDN w:val="0"/>
        <w:autoSpaceDE w:val="0"/>
        <w:widowControl/>
        <w:spacing w:line="233" w:lineRule="auto" w:before="18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Case Study 1: Sunda-Banda Arc Volcanic Geochemistry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Dataset: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473 volcanic samples from Prof. John Foden collection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DOI:</w:t>
      </w:r>
      <w:r>
        <w:rPr>
          <w:rFonts w:ascii="Arial" w:hAnsi="Arial" w:eastAsia="Arial"/>
          <w:b/>
          <w:i w:val="0"/>
          <w:color w:val="1F4E78"/>
          <w:sz w:val="21"/>
        </w:rPr>
        <w:hyperlink r:id="rId29" w:history="1">
          <w:r>
            <w:rPr>
              <w:rStyle w:val="Hyperlink"/>
            </w:rPr>
            <w:t>10.58024/AGUAEBE2CBB4</w:t>
          </w:r>
        </w:hyperlink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Application: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Magma evolution classification, volcanic rock classification, arc geochemistry analysis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GDAC Relevance: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Demonstrates volcanic rock geochemistry analysis applicable to Saudi Arabian volcanic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provinces</w:t>
      </w:r>
    </w:p>
    <w:p>
      <w:pPr>
        <w:autoSpaceDN w:val="0"/>
        <w:autoSpaceDE w:val="0"/>
        <w:widowControl/>
        <w:spacing w:line="235" w:lineRule="auto" w:before="1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Case Study 2: Ni-Cu-Co-PGE Mafic-Ultramafic Mineralisation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Dataset: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5,767 samples from Dr. Steven Barnes (CSIRO)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DOI:</w:t>
      </w:r>
      <w:r>
        <w:rPr>
          <w:rFonts w:ascii="Arial" w:hAnsi="Arial" w:eastAsia="Arial"/>
          <w:b/>
          <w:i w:val="0"/>
          <w:color w:val="1F4E78"/>
          <w:sz w:val="21"/>
        </w:rPr>
        <w:hyperlink r:id="rId30" w:history="1">
          <w:r>
            <w:rPr>
              <w:rStyle w:val="Hyperlink"/>
            </w:rPr>
            <w:t>10.25919/p5v1-j775</w:t>
          </w:r>
        </w:hyperlink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Application: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Mineral exploration targeting, prospectivity assessment for critical minerals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GDAC Relevance: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Direct application to Saudi Arabia's critical minerals exploration programs (Ni, Cu, Co, PGE)</w:t>
      </w:r>
    </w:p>
    <w:p>
      <w:pPr>
        <w:autoSpaceDN w:val="0"/>
        <w:autoSpaceDE w:val="0"/>
        <w:widowControl/>
        <w:spacing w:line="235" w:lineRule="auto" w:before="18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Case Study 3: Ontario Stream Sediment Geochemistry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Dataset: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2,113 samples from Ontario Geological Survey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DOI:</w:t>
      </w:r>
      <w:r>
        <w:rPr>
          <w:rFonts w:ascii="Arial" w:hAnsi="Arial" w:eastAsia="Arial"/>
          <w:b/>
          <w:i w:val="0"/>
          <w:color w:val="1F4E78"/>
          <w:sz w:val="21"/>
        </w:rPr>
        <w:hyperlink r:id="rId31" w:history="1">
          <w:r>
            <w:rPr>
              <w:rStyle w:val="Hyperlink"/>
            </w:rPr>
            <w:t>10.57744/LDLDEB878DE5</w:t>
          </w:r>
        </w:hyperlink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Application: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Provenance studies, environmental contamination detection, regional geochemical mapping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GDAC Relevance: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Methodology applicable to Saudi stream sediment and regional geochemical survey integration</w:t>
      </w:r>
    </w:p>
    <w:p>
      <w:pPr>
        <w:autoSpaceDN w:val="0"/>
        <w:autoSpaceDE w:val="0"/>
        <w:widowControl/>
        <w:spacing w:line="233" w:lineRule="auto" w:before="2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7.2 EGU Conference Publication (2025)</w:t>
      </w:r>
    </w:p>
    <w:p>
      <w:pPr>
        <w:autoSpaceDN w:val="0"/>
        <w:autoSpaceDE w:val="0"/>
        <w:widowControl/>
        <w:spacing w:line="271" w:lineRule="auto" w:before="124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Citation:</w:t>
      </w:r>
      <w:r>
        <w:rPr>
          <w:rFonts w:ascii="Arial" w:hAnsi="Arial" w:eastAsia="Arial"/>
          <w:b/>
          <w:i w:val="0"/>
          <w:color w:val="1F4E78"/>
          <w:sz w:val="21"/>
        </w:rPr>
        <w:hyperlink r:id="rId32" w:history="1">
          <w:r>
            <w:rPr>
              <w:rStyle w:val="Hyperlink"/>
            </w:rPr>
            <w:t xml:space="preserve">Nixon, A., Ware, B., McInnes, B., Kohlmann, F., Theile, M., Noble, W., et al. (2025). EarthBank by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32" w:history="1">
          <w:r>
            <w:rPr>
              <w:rStyle w:val="Hyperlink"/>
            </w:rPr>
            <w:t xml:space="preserve">AuScope: Building FAIR research data infrastructure for the global geochemical community. EGU General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32" w:history="1">
          <w:r>
            <w:rPr>
              <w:rStyle w:val="Hyperlink"/>
            </w:rPr>
            <w:t>Assembly 2025, DOI: 10.5194/egusphere-egu25-14320</w:t>
          </w:r>
        </w:hyperlink>
      </w:r>
    </w:p>
    <w:p>
      <w:pPr>
        <w:autoSpaceDN w:val="0"/>
        <w:autoSpaceDE w:val="0"/>
        <w:widowControl/>
        <w:spacing w:line="266" w:lineRule="auto" w:before="170" w:after="0"/>
        <w:ind w:left="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Presentation at European Geosciences Union demonstrating EarthBank's role as international model for FAIR </w:t>
      </w:r>
      <w:r>
        <w:rPr>
          <w:rFonts w:ascii="Arial" w:hAnsi="Arial" w:eastAsia="Arial"/>
          <w:b w:val="0"/>
          <w:i w:val="0"/>
          <w:color w:val="333333"/>
          <w:sz w:val="21"/>
        </w:rPr>
        <w:t>geoscience data infrastructure.</w:t>
      </w:r>
    </w:p>
    <w:p>
      <w:pPr>
        <w:autoSpaceDN w:val="0"/>
        <w:autoSpaceDE w:val="0"/>
        <w:widowControl/>
        <w:spacing w:line="233" w:lineRule="auto" w:before="2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7.3 Community Standards Publication (2022)</w:t>
      </w:r>
    </w:p>
    <w:p>
      <w:pPr>
        <w:autoSpaceDN w:val="0"/>
        <w:autoSpaceDE w:val="0"/>
        <w:widowControl/>
        <w:spacing w:line="271" w:lineRule="auto" w:before="108" w:after="0"/>
        <w:ind w:left="2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21"/>
        </w:rPr>
        <w:t>Citation:</w:t>
      </w:r>
      <w:r>
        <w:rPr>
          <w:rFonts w:ascii="Arial" w:hAnsi="Arial" w:eastAsia="Arial"/>
          <w:b/>
          <w:i w:val="0"/>
          <w:color w:val="1F4E78"/>
          <w:sz w:val="21"/>
        </w:rPr>
        <w:hyperlink r:id="rId33" w:history="1">
          <w:r>
            <w:rPr>
              <w:rStyle w:val="Hyperlink"/>
            </w:rPr>
            <w:t xml:space="preserve">Boone, S.C., Dalton, H., Prent, A., Kohlmann, F., Theile, M., Gréau, Y., Florin, G., Noble, W., et al.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33" w:history="1">
          <w:r>
            <w:rPr>
              <w:rStyle w:val="Hyperlink"/>
            </w:rPr>
            <w:t xml:space="preserve">(2022). AusGeochem: An open platform for geochemical data preservation, dissemination and synthesis. </w:t>
          </w:r>
        </w:hyperlink>
      </w:r>
      <w:r>
        <w:rPr>
          <w:rFonts w:ascii="Arial" w:hAnsi="Arial" w:eastAsia="Arial"/>
          <w:b/>
          <w:i w:val="0"/>
          <w:color w:val="1F4E78"/>
          <w:sz w:val="21"/>
        </w:rPr>
        <w:hyperlink r:id="rId33" w:history="1">
          <w:r>
            <w:rPr>
              <w:rStyle w:val="Hyperlink"/>
            </w:rPr>
            <w:t>Geostandards and Geoanalytical Research, 27 citations.</w:t>
          </w:r>
        </w:hyperlink>
      </w:r>
    </w:p>
    <w:p>
      <w:pPr>
        <w:autoSpaceDN w:val="0"/>
        <w:autoSpaceDE w:val="0"/>
        <w:widowControl/>
        <w:spacing w:line="259" w:lineRule="auto" w:before="184" w:after="0"/>
        <w:ind w:left="2" w:right="72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Highly cited publication establishing EarthBank as international reference implementation for geochemical data </w:t>
      </w:r>
      <w:r>
        <w:rPr>
          <w:rFonts w:ascii="Arial" w:hAnsi="Arial" w:eastAsia="Arial"/>
          <w:b w:val="0"/>
          <w:i w:val="0"/>
          <w:color w:val="333333"/>
          <w:sz w:val="21"/>
        </w:rPr>
        <w:t>platforms.</w:t>
      </w:r>
    </w:p>
    <w:p>
      <w:pPr>
        <w:autoSpaceDN w:val="0"/>
        <w:autoSpaceDE w:val="0"/>
        <w:widowControl/>
        <w:spacing w:line="235" w:lineRule="auto" w:before="320" w:after="9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8. Vocabularies and Standards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14"/>
        <w:gridCol w:w="5514"/>
      </w:tblGrid>
      <w:tr>
        <w:trPr>
          <w:trHeight w:hRule="exact" w:val="2140"/>
        </w:trPr>
        <w:tc>
          <w:tcPr>
            <w:tcW w:type="dxa" w:w="21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0"/>
            <w:tcBorders>
              <w:top w:sz="12.0" w:val="single" w:color="#1F4E7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140" w:after="0"/>
              <w:ind w:left="92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AGN Controlled Vocabularies: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hyperlink r:id="rId34" w:history="1">
                <w:r>
                  <w:rPr>
                    <w:rStyle w:val="Hyperlink"/>
                  </w:rPr>
                  <w:t xml:space="preserve">https://vocabs.ardc.edu.au/viewById/689 </w:t>
                </w:r>
              </w:hyperlink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FAIR Data Principles: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Full implementation of Findable, Accessible, Interoperable, Reusable principles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CoreTrustSeal Certification: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Highest international standard for trustworthy data repositories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ISO Security Standards: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Alignment with ISO 27001 information security management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API Documentation: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Comprehensive REST API documentation available through platform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Data Upload Templates: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Standardized templates for consistent data submission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50" w:right="420" w:bottom="658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3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9. Planned Enhancements (Roadmap)</w:t>
      </w:r>
    </w:p>
    <w:p>
      <w:pPr>
        <w:autoSpaceDN w:val="0"/>
        <w:autoSpaceDE w:val="0"/>
        <w:widowControl/>
        <w:spacing w:line="266" w:lineRule="auto" w:before="264" w:after="0"/>
        <w:ind w:left="452" w:right="1296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AuScope Geochemistry Network has funded ongoing platform development through its $19 million expansion </w:t>
      </w:r>
      <w:r>
        <w:rPr>
          <w:rFonts w:ascii="Arial" w:hAnsi="Arial" w:eastAsia="Arial"/>
          <w:b w:val="0"/>
          <w:i w:val="0"/>
          <w:color w:val="333333"/>
          <w:sz w:val="21"/>
        </w:rPr>
        <w:t>program, including:</w:t>
      </w:r>
    </w:p>
    <w:p>
      <w:pPr>
        <w:autoSpaceDN w:val="0"/>
        <w:autoSpaceDE w:val="0"/>
        <w:widowControl/>
        <w:spacing w:line="233" w:lineRule="auto" w:before="236" w:after="62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9.1 Core Software Enhancements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209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60" w:after="0"/>
              <w:ind w:left="9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Scalability via Clustering: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Distributed database architecture for increased performance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Change History/Audit Trails: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Complete data versioning and provenance tracking system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Ontologies/Vocabularies Downloadable: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Making controlled vocabularies accessible via API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Area Selections via Polygon Files: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Enabling users to define specific regions, geological units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IsoplotR Integration: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Seamless integration for advanced geochronology data reduction and visualization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Separating Machine Data: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Ensuring reusability by separating machine-generated data (e.g., ICPMS) from data</w:t>
            </w:r>
          </w:p>
        </w:tc>
      </w:tr>
    </w:tbl>
    <w:p>
      <w:pPr>
        <w:autoSpaceDN w:val="0"/>
        <w:autoSpaceDE w:val="0"/>
        <w:widowControl/>
        <w:spacing w:line="235" w:lineRule="auto" w:before="32" w:after="0"/>
        <w:ind w:left="75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points</w:t>
      </w:r>
    </w:p>
    <w:p>
      <w:pPr>
        <w:autoSpaceDN w:val="0"/>
        <w:autoSpaceDE w:val="0"/>
        <w:widowControl/>
        <w:spacing w:line="233" w:lineRule="auto" w:before="236" w:after="62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9.2 Additional Features and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2470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60" w:after="0"/>
              <w:ind w:left="92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Preview Mode: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Allowing data providers to preview non-public data packages before publication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QC Filters/Warnings: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Implementing quality control measures and warnings for data integrity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Data Certification Model: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Establishing a model for certifying the accuracy and reliability of data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Additional Background Maps: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Expanding mapping options to enhance user experience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Multi-filter Tool: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Advanced filtering for each data type on map view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User Preferences: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Saving of user preferences (colour ramps, views, filters)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Below-Surface Representation: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Sample representation on swath profiles for boreholes</w:t>
            </w:r>
          </w:p>
        </w:tc>
      </w:tr>
    </w:tbl>
    <w:p>
      <w:pPr>
        <w:autoSpaceDN w:val="0"/>
        <w:autoSpaceDE w:val="0"/>
        <w:widowControl/>
        <w:spacing w:line="233" w:lineRule="auto" w:before="192" w:after="54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9.3 Models and Ontologies Expansion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774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54" w:after="0"/>
              <w:ind w:left="92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Additional Isotope Systems: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Ar/Ar, K-Ar, Lu-Hf, Rb-Sr, Sm-Nd, Re-Os, I-Xe data models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Isotopic Data Models: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Exploring additional stable and radiogenic isotope systems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Rock Properties: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Integration of physical property measurements (density, porosity, permeability)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Heat Flow Models: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Geothermal gradient and heat flow database integration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Borehole Models: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Subsurface stratigraphic and geophysical borehole data</w:t>
            </w:r>
          </w:p>
        </w:tc>
      </w:tr>
    </w:tbl>
    <w:p>
      <w:pPr>
        <w:autoSpaceDN w:val="0"/>
        <w:autoSpaceDE w:val="0"/>
        <w:widowControl/>
        <w:spacing w:line="233" w:lineRule="auto" w:before="176" w:after="62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9.4 Data Integration and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1766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60" w:after="0"/>
              <w:ind w:left="9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2M U-Pb Zircon Dataset: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Integration of national zircon geochronology compilation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NRCan Public Thermochronology Data: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Integration of Canadian national thermochronology datasets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Large Dataset Upload Assistance: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API-based support for uploading large datasets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PID Minting for Machines: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Persistent Identifiers including metadata for AuScope-funded analytical instruments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Catalogue Registration: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Registering datasets in national and international data catalogues</w:t>
            </w:r>
          </w:p>
        </w:tc>
      </w:tr>
    </w:tbl>
    <w:p>
      <w:pPr>
        <w:autoSpaceDN w:val="0"/>
        <w:autoSpaceDE w:val="0"/>
        <w:widowControl/>
        <w:spacing w:line="271" w:lineRule="auto" w:before="298" w:after="0"/>
        <w:ind w:left="738" w:right="720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Technology Transfer to GDAC-SA: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All technical innovations developed for EarthBank are directly transferable to the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GDAC platform. Lithodat's development roadmap demonstrates continuous innovation in national geoscience data </w:t>
      </w:r>
      <w:r>
        <w:rPr>
          <w:rFonts w:ascii="Arial" w:hAnsi="Arial" w:eastAsia="Arial"/>
          <w:b w:val="0"/>
          <w:i w:val="0"/>
          <w:color w:val="333333"/>
          <w:sz w:val="20"/>
        </w:rPr>
        <w:t>infrastructure—capabilities that would benefit Saudi Arabia's geological data modernization program.</w:t>
      </w:r>
    </w:p>
    <w:p>
      <w:pPr>
        <w:autoSpaceDN w:val="0"/>
        <w:autoSpaceDE w:val="0"/>
        <w:widowControl/>
        <w:spacing w:line="233" w:lineRule="auto" w:before="532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10. Supporting Publications by Lithodat Team</w:t>
      </w:r>
    </w:p>
    <w:p>
      <w:pPr>
        <w:autoSpaceDN w:val="0"/>
        <w:autoSpaceDE w:val="0"/>
        <w:widowControl/>
        <w:spacing w:line="233" w:lineRule="auto" w:before="33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10.1 Geochemistry Data Platforms (11 publications)</w:t>
      </w:r>
    </w:p>
    <w:p>
      <w:pPr>
        <w:autoSpaceDN w:val="0"/>
        <w:tabs>
          <w:tab w:pos="752" w:val="left"/>
        </w:tabs>
        <w:autoSpaceDE w:val="0"/>
        <w:widowControl/>
        <w:spacing w:line="240" w:lineRule="auto" w:before="124" w:after="0"/>
        <w:ind w:left="520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3" w:history="1">
          <w:r>
            <w:rPr>
              <w:rStyle w:val="Hyperlink"/>
            </w:rPr>
            <w:t xml:space="preserve">Boone, S.C., Dalton, H., Prent, A., Kohlmann, F., Theile, M., Gréau, Y., Florin, G., Noble, W., et al. (2022). </w:t>
          </w:r>
        </w:hyperlink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3" w:history="1">
          <w:r>
            <w:rPr>
              <w:rStyle w:val="Hyperlink"/>
            </w:rPr>
            <w:t xml:space="preserve">AusGeochem: An open platform for geochemical data preservation, dissemination and synthesis. </w:t>
          </w:r>
        </w:hyperlink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3" w:history="1">
          <w:r>
            <w:rPr>
              <w:rStyle w:val="Hyperlink"/>
            </w:rPr>
            <w:t>Geostandards and Geoanalytical Research. 27 citations.</w:t>
          </w:r>
        </w:hyperlink>
      </w:r>
    </w:p>
    <w:p>
      <w:pPr>
        <w:sectPr>
          <w:pgSz w:w="11899" w:h="16838"/>
          <w:pgMar w:top="338" w:right="0" w:bottom="3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tabs>
          <w:tab w:pos="302" w:val="left"/>
        </w:tabs>
        <w:autoSpaceDE w:val="0"/>
        <w:widowControl/>
        <w:spacing w:line="240" w:lineRule="auto" w:before="4" w:after="0"/>
        <w:ind w:left="7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5" w:history="1">
          <w:r>
            <w:rPr>
              <w:rStyle w:val="Hyperlink"/>
            </w:rPr>
            <w:t xml:space="preserve">Klöcking, M., Wyborn, L., Lehnert, K.A., Ware, B., Prent, A.M., Profeta, L., Kohlmann, F., et al. (2023). </w:t>
          </w:r>
        </w:hyperlink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5" w:history="1">
          <w:r>
            <w:rPr>
              <w:rStyle w:val="Hyperlink"/>
            </w:rPr>
            <w:t xml:space="preserve">Community recommendations for geochemical data, services and analytical capabilities in the 21st </w:t>
          </w:r>
        </w:hyperlink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5" w:history="1">
          <w:r>
            <w:rPr>
              <w:rStyle w:val="Hyperlink"/>
            </w:rPr>
            <w:t>century. Geochimica et Cosmochimica Acta. 19 citations.</w:t>
          </w:r>
        </w:hyperlink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Kohlmann, F., Noble, W., Theile, M. (2021). LithoSurfer-a new community platform for storing, viewing, analysing,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sharing and publishing thermochronology and geochronology data.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Kohlmann, F., Noble, W., Qin, X., Higton, J., et al. (2025). Deep-Time Digital Twins: Integrating LithoPlates with the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EarthBank Platform.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Kohlmann, F., Noble, W., Qin, X., Beucher, R., et al. (2023). LithoPlates: A New Cloud-based Tool for Deep-Time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Reconstruction of Geochemistry Data.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Noble, W., Kohlmann, F., Prent, A.M., Boone, S., et al. (2022). Opening the full Potential of Geochemical Big Data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utilising AusGeochem.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Theile, M., Noble, W., Beucher, R., et al. (2022). From Field Application to Publication: An end-to-end Solution for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FAIR Geoscience Data.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Theile, M., Noble, W., Beucher, R., et al. (2023). From Fieldwork to Publication with AusGeochem: An Open end-to-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end Solution for managing FAIR Sample Based Geoscience Data.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Prent, A.M., Boone, S., Greau, Y., Noble, W., Kohlmann, F., et al. (2022). The AuScope Geochemistry Laboratory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Network Project and the Building of the AusGeochem Data Repository.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Kohlmann, F., Noble, W., Boone, S., Greau, Y., et al. (2022). A Digital end-to-end solution for FAIR Geochemistry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Data, from Field Collection to Publication.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Noble, W., Kohlmann, F., Theile, M., et al. (2024). Empowering Geochemical Exploration and Research: Lithodat's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Collaborative Data Platforms and Partnerships.</w:t>
      </w:r>
    </w:p>
    <w:p>
      <w:pPr>
        <w:autoSpaceDN w:val="0"/>
        <w:autoSpaceDE w:val="0"/>
        <w:widowControl/>
        <w:spacing w:line="233" w:lineRule="auto" w:before="23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10.2 Thermochronology &amp; Geochronology (15 publications)</w:t>
      </w:r>
    </w:p>
    <w:p>
      <w:pPr>
        <w:autoSpaceDN w:val="0"/>
        <w:autoSpaceDE w:val="0"/>
        <w:widowControl/>
        <w:spacing w:line="266" w:lineRule="auto" w:before="122" w:after="0"/>
        <w:ind w:left="2" w:right="28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Lithodat's technical team (Kohlmann, Noble, Theile) has extensive peer-reviewed publications in thermochronology </w:t>
      </w:r>
      <w:r>
        <w:rPr>
          <w:rFonts w:ascii="Arial" w:hAnsi="Arial" w:eastAsia="Arial"/>
          <w:b w:val="0"/>
          <w:i w:val="0"/>
          <w:color w:val="333333"/>
          <w:sz w:val="21"/>
        </w:rPr>
        <w:t>and geochronology, including: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70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16" w:history="1">
          <w:r>
            <w:rPr>
              <w:rStyle w:val="Hyperlink"/>
            </w:rPr>
            <w:t xml:space="preserve">Boone et al. (2023). A geospatial platform for tectonic interpretation of low-temperature thermochronology </w:t>
          </w:r>
        </w:hyperlink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16" w:history="1">
          <w:r>
            <w:rPr>
              <w:rStyle w:val="Hyperlink"/>
            </w:rPr>
            <w:t>Big Data. Scientific Reports, 12 citations.</w:t>
          </w:r>
        </w:hyperlink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(Kohlmann, Noble, Theile co-authors)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6" w:history="1">
          <w:r>
            <w:rPr>
              <w:rStyle w:val="Hyperlink"/>
            </w:rPr>
            <w:t xml:space="preserve">Ksienzyk et al. (2014). From orogen to passive margin: constraints from fission track and (U–Th)/He </w:t>
          </w:r>
        </w:hyperlink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36" w:history="1">
          <w:r>
            <w:rPr>
              <w:rStyle w:val="Hyperlink"/>
            </w:rPr>
            <w:t>analyses on Mesozoic uplift and fault reactivation in SW Norway. 76 citations.</w:t>
          </w:r>
        </w:hyperlink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(Kohlmann co-author)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17" w:history="1">
          <w:r>
            <w:rPr>
              <w:rStyle w:val="Hyperlink"/>
            </w:rPr>
            <w:t xml:space="preserve">Peternell et al. (2009). A new approach to crystallographic orientation measurement for apatite fission track </w:t>
          </w:r>
        </w:hyperlink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hyperlink r:id="rId17" w:history="1">
          <w:r>
            <w:rPr>
              <w:rStyle w:val="Hyperlink"/>
            </w:rPr>
            <w:t>analysis: effects of crystal morphology and implications for automation. Chemical Geology, 50 citations.</w:t>
          </w:r>
        </w:hyperlink>
      </w:r>
    </w:p>
    <w:p>
      <w:pPr>
        <w:autoSpaceDN w:val="0"/>
        <w:autoSpaceDE w:val="0"/>
        <w:widowControl/>
        <w:spacing w:line="233" w:lineRule="auto" w:before="66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(Kohlmann co-author)</w:t>
      </w:r>
    </w:p>
    <w:p>
      <w:pPr>
        <w:autoSpaceDN w:val="0"/>
        <w:autoSpaceDE w:val="0"/>
        <w:widowControl/>
        <w:spacing w:line="233" w:lineRule="auto" w:before="30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11. Industry and Government Adoption</w:t>
      </w:r>
    </w:p>
    <w:p>
      <w:pPr>
        <w:autoSpaceDN w:val="0"/>
        <w:autoSpaceDE w:val="0"/>
        <w:widowControl/>
        <w:spacing w:line="259" w:lineRule="auto" w:before="280" w:after="0"/>
        <w:ind w:left="2" w:right="1008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EarthBank has been adopted by leading mining companies, government agencies, and research institutions </w:t>
      </w:r>
      <w:r>
        <w:rPr>
          <w:rFonts w:ascii="Arial" w:hAnsi="Arial" w:eastAsia="Arial"/>
          <w:b w:val="0"/>
          <w:i w:val="0"/>
          <w:color w:val="333333"/>
          <w:sz w:val="21"/>
        </w:rPr>
        <w:t>demonstrating the platform's value across industry, policy, and research sectors:</w:t>
      </w:r>
    </w:p>
    <w:p>
      <w:pPr>
        <w:autoSpaceDN w:val="0"/>
        <w:autoSpaceDE w:val="0"/>
        <w:widowControl/>
        <w:spacing w:line="233" w:lineRule="auto" w:before="25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11.1 Industry Adoption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08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BHP: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Global mining company using platform for exploration data management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AngloAmerican: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Major mining company integrating EarthBank into workflows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Chalice Mining: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Julimar discovery (Western Australia) utilized AuScope seismology infrastructure for polymetallic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deposit discovery (palladium, nickel, copper, platinum)</w:t>
      </w:r>
    </w:p>
    <w:p>
      <w:pPr>
        <w:autoSpaceDN w:val="0"/>
        <w:autoSpaceDE w:val="0"/>
        <w:widowControl/>
        <w:spacing w:line="233" w:lineRule="auto" w:before="2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11.2 Government Agencies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08" w:after="0"/>
        <w:ind w:left="7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Geoscience Australia: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Federal geological survey contributing datasets and utilizing platform for national data </w:t>
      </w:r>
      <w:r>
        <w:tab/>
      </w:r>
      <w:r>
        <w:rPr>
          <w:rFonts w:ascii="Arial" w:hAnsi="Arial" w:eastAsia="Arial"/>
          <w:b w:val="0"/>
          <w:i w:val="0"/>
          <w:color w:val="333333"/>
          <w:sz w:val="21"/>
        </w:rPr>
        <w:t>management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State Geological Surveys: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All Australian states and territories using platform and contributing HyLogger data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CSIRO Mineral Resources: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Contributing major datasets (Steve Barnes Ni-PGE Collection with 5,767 samples)</w:t>
      </w:r>
    </w:p>
    <w:p>
      <w:pPr>
        <w:sectPr>
          <w:pgSz w:w="11899" w:h="16838"/>
          <w:pgMar w:top="348" w:right="420" w:bottom="48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11.3 Research Institutions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Australian Universities (10+):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Curtin, Melbourne, ANU, UWA, Macquarie, Queensland, Adelaide, Monash,</w:t>
      </w:r>
    </w:p>
    <w:p>
      <w:pPr>
        <w:autoSpaceDN w:val="0"/>
        <w:autoSpaceDE w:val="0"/>
        <w:widowControl/>
        <w:spacing w:line="235" w:lineRule="auto" w:before="50" w:after="0"/>
        <w:ind w:left="30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Tasmania, Wollongong, James Cook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Museums Victoria: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Contributed tens of thousands of geological specimens, some dating to 1854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International Partners: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EarthScope (USA), EPOS (Europe), IGSN e.V.</w:t>
      </w:r>
    </w:p>
    <w:p>
      <w:pPr>
        <w:autoSpaceDN w:val="0"/>
        <w:autoSpaceDE w:val="0"/>
        <w:widowControl/>
        <w:spacing w:line="233" w:lineRule="auto" w:before="25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11.4 Economic Impact Validation</w:t>
      </w:r>
    </w:p>
    <w:p>
      <w:pPr>
        <w:autoSpaceDN w:val="0"/>
        <w:autoSpaceDE w:val="0"/>
        <w:widowControl/>
        <w:spacing w:line="233" w:lineRule="auto" w:before="108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>Independent economic analysis demonstrates significant return on investment: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8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ROI: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$15 for every $1 spent on AuScope infrastructure (Lateral Economics, 2016)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6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Mineral Exploration Value: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$912 million realized (CSIRO data)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1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Gold Discoveries: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$458 million (CSIRO data)</w:t>
      </w:r>
    </w:p>
    <w:p>
      <w:pPr>
        <w:autoSpaceDN w:val="0"/>
        <w:tabs>
          <w:tab w:pos="302" w:val="left"/>
        </w:tabs>
        <w:autoSpaceDE w:val="0"/>
        <w:widowControl/>
        <w:spacing w:line="240" w:lineRule="auto" w:before="12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eastAsia="Arial"/>
          <w:b/>
          <w:i w:val="0"/>
          <w:color w:val="1F4E78"/>
          <w:sz w:val="21"/>
        </w:rPr>
        <w:t>Annual Mining Efficiencies:</w:t>
      </w:r>
      <w:r>
        <w:rPr>
          <w:rFonts w:ascii="Arial" w:hAnsi="Arial" w:eastAsia="Arial"/>
          <w:b w:val="0"/>
          <w:i w:val="0"/>
          <w:color w:val="333333"/>
          <w:sz w:val="21"/>
        </w:rPr>
        <w:t xml:space="preserve"> $35 million (CSIRO data)</w:t>
      </w:r>
    </w:p>
    <w:p>
      <w:pPr>
        <w:autoSpaceDN w:val="0"/>
        <w:autoSpaceDE w:val="0"/>
        <w:widowControl/>
        <w:spacing w:line="233" w:lineRule="auto" w:before="236" w:after="102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2"/>
        </w:rPr>
        <w:t>11.5 Notable Data Collections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80"/>
        </w:trPr>
        <w:tc>
          <w:tcPr>
            <w:tcW w:type="dxa" w:w="293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Collection</w:t>
            </w:r>
          </w:p>
        </w:tc>
        <w:tc>
          <w:tcPr>
            <w:tcW w:type="dxa" w:w="2326"/>
            <w:tcBorders>
              <w:start w:sz="5.599999999999909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Source</w:t>
            </w:r>
          </w:p>
        </w:tc>
        <w:tc>
          <w:tcPr>
            <w:tcW w:type="dxa" w:w="573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Significance</w:t>
            </w:r>
          </w:p>
        </w:tc>
      </w:tr>
      <w:tr>
        <w:trPr>
          <w:trHeight w:hRule="exact" w:val="750"/>
        </w:trPr>
        <w:tc>
          <w:tcPr>
            <w:tcW w:type="dxa" w:w="293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24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Steve Barnes Ni-PGE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Collection</w:t>
            </w:r>
          </w:p>
        </w:tc>
        <w:tc>
          <w:tcPr>
            <w:tcW w:type="dxa" w:w="2326"/>
            <w:tcBorders>
              <w:start w:sz="5.599999999999909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CSIRO</w:t>
            </w:r>
          </w:p>
        </w:tc>
        <w:tc>
          <w:tcPr>
            <w:tcW w:type="dxa" w:w="573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20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5,767 samples for Ni-Cu-Co-PGE mafic-ultramafic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mineralization studies</w:t>
            </w:r>
          </w:p>
        </w:tc>
      </w:tr>
      <w:tr>
        <w:trPr>
          <w:trHeight w:hRule="exact" w:val="480"/>
        </w:trPr>
        <w:tc>
          <w:tcPr>
            <w:tcW w:type="dxa" w:w="293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Museums Victoria Specimens</w:t>
            </w:r>
          </w:p>
        </w:tc>
        <w:tc>
          <w:tcPr>
            <w:tcW w:type="dxa" w:w="2326"/>
            <w:tcBorders>
              <w:start w:sz="5.599999999999909" w:val="single" w:color="#DDDDDD"/>
              <w:top w:sz="5.599999999999909" w:val="single" w:color="#DDDDDD"/>
              <w:end w:sz="5.599999999999909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Museums Victoria</w:t>
            </w:r>
          </w:p>
        </w:tc>
        <w:tc>
          <w:tcPr>
            <w:tcW w:type="dxa" w:w="573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Tens of thousands of samples dating back to 1854</w:t>
            </w:r>
          </w:p>
        </w:tc>
      </w:tr>
      <w:tr>
        <w:trPr>
          <w:trHeight w:hRule="exact" w:val="466"/>
        </w:trPr>
        <w:tc>
          <w:tcPr>
            <w:tcW w:type="dxa" w:w="2938"/>
            <w:tcBorders>
              <w:start w:sz="5.599999999999994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ThermochronOz2002</w:t>
            </w:r>
          </w:p>
        </w:tc>
        <w:tc>
          <w:tcPr>
            <w:tcW w:type="dxa" w:w="2326"/>
            <w:tcBorders>
              <w:start w:sz="5.599999999999909" w:val="single" w:color="#DDDDDD"/>
              <w:top w:sz="5.599999999999909" w:val="single" w:color="#DDDDDD"/>
              <w:end w:sz="5.599999999999909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National compilation</w:t>
            </w:r>
          </w:p>
        </w:tc>
        <w:tc>
          <w:tcPr>
            <w:tcW w:type="dxa" w:w="5730"/>
            <w:tcBorders>
              <w:start w:sz="5.599999999999909" w:val="single" w:color="#DDDDDD"/>
              <w:top w:sz="5.599999999999909" w:val="single" w:color="#DDDDDD"/>
              <w:end w:sz="6.399999999999636" w:val="single" w:color="#DDDDDD"/>
              <w:bottom w:sz="6.40000000000009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National thermochronology dataset</w:t>
            </w:r>
          </w:p>
        </w:tc>
      </w:tr>
      <w:tr>
        <w:trPr>
          <w:trHeight w:hRule="exact" w:val="480"/>
        </w:trPr>
        <w:tc>
          <w:tcPr>
            <w:tcW w:type="dxa" w:w="293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Sunda-Banda Arc Volcanics</w:t>
            </w:r>
          </w:p>
        </w:tc>
        <w:tc>
          <w:tcPr>
            <w:tcW w:type="dxa" w:w="2326"/>
            <w:tcBorders>
              <w:start w:sz="5.599999999999909" w:val="single" w:color="#DDDDDD"/>
              <w:top w:sz="6.400000000000091" w:val="single" w:color="#DDDDDD"/>
              <w:end w:sz="5.599999999999909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Prof. John Foden</w:t>
            </w:r>
          </w:p>
        </w:tc>
        <w:tc>
          <w:tcPr>
            <w:tcW w:type="dxa" w:w="573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473 volcanic samples for arc geochemistry analysis</w:t>
            </w:r>
          </w:p>
        </w:tc>
      </w:tr>
      <w:tr>
        <w:trPr>
          <w:trHeight w:hRule="exact" w:val="750"/>
        </w:trPr>
        <w:tc>
          <w:tcPr>
            <w:tcW w:type="dxa" w:w="2938"/>
            <w:tcBorders>
              <w:start w:sz="5.599999999999994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Ontario Stream Sediments</w:t>
            </w:r>
          </w:p>
        </w:tc>
        <w:tc>
          <w:tcPr>
            <w:tcW w:type="dxa" w:w="2326"/>
            <w:tcBorders>
              <w:start w:sz="5.599999999999909" w:val="single" w:color="#DDDDDD"/>
              <w:top w:sz="6.400000000000091" w:val="single" w:color="#DDDDDD"/>
              <w:end w:sz="5.599999999999909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2" w:after="0"/>
              <w:ind w:left="11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Ontario Geological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Survey</w:t>
            </w:r>
          </w:p>
        </w:tc>
        <w:tc>
          <w:tcPr>
            <w:tcW w:type="dxa" w:w="5730"/>
            <w:tcBorders>
              <w:start w:sz="5.599999999999909" w:val="single" w:color="#DDDDDD"/>
              <w:top w:sz="6.400000000000091" w:val="single" w:color="#DDDDDD"/>
              <w:end w:sz="6.399999999999636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2,113 samples for regional geochemical mapping</w:t>
            </w:r>
          </w:p>
        </w:tc>
      </w:tr>
    </w:tbl>
    <w:p>
      <w:pPr>
        <w:autoSpaceDN w:val="0"/>
        <w:autoSpaceDE w:val="0"/>
        <w:widowControl/>
        <w:spacing w:line="233" w:lineRule="auto" w:before="274" w:after="244"/>
        <w:ind w:left="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12. Alignment with GDAC-SA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76"/>
        <w:gridCol w:w="3676"/>
        <w:gridCol w:w="3676"/>
      </w:tblGrid>
      <w:tr>
        <w:trPr>
          <w:trHeight w:hRule="exact" w:val="480"/>
        </w:trPr>
        <w:tc>
          <w:tcPr>
            <w:tcW w:type="dxa" w:w="2790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GDAC-SA Requirement</w:t>
            </w:r>
          </w:p>
        </w:tc>
        <w:tc>
          <w:tcPr>
            <w:tcW w:type="dxa" w:w="3644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EarthBank Demonstration</w:t>
            </w:r>
          </w:p>
        </w:tc>
        <w:tc>
          <w:tcPr>
            <w:tcW w:type="dxa" w:w="45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5.599999999999909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ABABAB"/>
                <w:sz w:val="20"/>
              </w:rPr>
              <w:t>Evidence</w:t>
            </w:r>
          </w:p>
        </w:tc>
      </w:tr>
      <w:tr>
        <w:trPr>
          <w:trHeight w:hRule="exact" w:val="750"/>
        </w:trPr>
        <w:tc>
          <w:tcPr>
            <w:tcW w:type="dxa" w:w="2790"/>
            <w:tcBorders>
              <w:start w:sz="5.599999999999994" w:val="single" w:color="#DDDDDD"/>
              <w:top w:sz="5.599999999999909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National data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standardization</w:t>
            </w:r>
          </w:p>
        </w:tc>
        <w:tc>
          <w:tcPr>
            <w:tcW w:type="dxa" w:w="3644"/>
            <w:tcBorders>
              <w:start w:sz="6.400000000000091" w:val="single" w:color="#DDDDDD"/>
              <w:top w:sz="5.599999999999909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2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Unified data models across 6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analytical types</w:t>
            </w:r>
          </w:p>
        </w:tc>
        <w:tc>
          <w:tcPr>
            <w:tcW w:type="dxa" w:w="4560"/>
            <w:tcBorders>
              <w:start w:sz="6.400000000000091" w:val="single" w:color="#DDDDDD"/>
              <w:top w:sz="5.599999999999909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12M+ standardized analytical results</w:t>
            </w:r>
          </w:p>
        </w:tc>
      </w:tr>
      <w:tr>
        <w:trPr>
          <w:trHeight w:hRule="exact" w:val="480"/>
        </w:trPr>
        <w:tc>
          <w:tcPr>
            <w:tcW w:type="dxa" w:w="2790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Multi-agency integration</w:t>
            </w:r>
          </w:p>
        </w:tc>
        <w:tc>
          <w:tcPr>
            <w:tcW w:type="dxa" w:w="36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Federal + state surveys + universities</w:t>
            </w:r>
          </w:p>
        </w:tc>
        <w:tc>
          <w:tcPr>
            <w:tcW w:type="dxa" w:w="45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10+ partner institutions</w:t>
            </w:r>
          </w:p>
        </w:tc>
      </w:tr>
      <w:tr>
        <w:trPr>
          <w:trHeight w:hRule="exact" w:val="750"/>
        </w:trPr>
        <w:tc>
          <w:tcPr>
            <w:tcW w:type="dxa" w:w="2790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4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Advanced analytics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infrastructure</w:t>
            </w:r>
          </w:p>
        </w:tc>
        <w:tc>
          <w:tcPr>
            <w:tcW w:type="dxa" w:w="36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ML-ready data, REST API, cloud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compute</w:t>
            </w:r>
          </w:p>
        </w:tc>
        <w:tc>
          <w:tcPr>
            <w:tcW w:type="dxa" w:w="45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Published ML applications (Farahbakhsh 2025,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Boone 2023)</w:t>
            </w:r>
          </w:p>
        </w:tc>
      </w:tr>
      <w:tr>
        <w:trPr>
          <w:trHeight w:hRule="exact" w:val="766"/>
        </w:trPr>
        <w:tc>
          <w:tcPr>
            <w:tcW w:type="dxa" w:w="2790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Cloud-based deployment</w:t>
            </w:r>
          </w:p>
        </w:tc>
        <w:tc>
          <w:tcPr>
            <w:tcW w:type="dxa" w:w="364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4" w:after="0"/>
              <w:ind w:left="122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100% AWS-hosted, scalable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architecture</w:t>
            </w:r>
          </w:p>
        </w:tc>
        <w:tc>
          <w:tcPr>
            <w:tcW w:type="dxa" w:w="45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100% uptime SLA, 1,300+ concurrent users</w:t>
            </w:r>
          </w:p>
        </w:tc>
      </w:tr>
      <w:tr>
        <w:trPr>
          <w:trHeight w:hRule="exact" w:val="750"/>
        </w:trPr>
        <w:tc>
          <w:tcPr>
            <w:tcW w:type="dxa" w:w="2790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Data quality standards</w:t>
            </w:r>
          </w:p>
        </w:tc>
        <w:tc>
          <w:tcPr>
            <w:tcW w:type="dxa" w:w="36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2" w:after="0"/>
              <w:ind w:left="12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FAIR compliance, CoreTrustSeal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certification</w:t>
            </w:r>
          </w:p>
        </w:tc>
        <w:tc>
          <w:tcPr>
            <w:tcW w:type="dxa" w:w="45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International certification achieved</w:t>
            </w:r>
          </w:p>
        </w:tc>
      </w:tr>
      <w:tr>
        <w:trPr>
          <w:trHeight w:hRule="exact" w:val="750"/>
        </w:trPr>
        <w:tc>
          <w:tcPr>
            <w:tcW w:type="dxa" w:w="2790"/>
            <w:tcBorders>
              <w:start w:sz="5.599999999999994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Security requirements</w:t>
            </w:r>
          </w:p>
        </w:tc>
        <w:tc>
          <w:tcPr>
            <w:tcW w:type="dxa" w:w="3644"/>
            <w:tcBorders>
              <w:start w:sz="6.400000000000091" w:val="single" w:color="#DDDDDD"/>
              <w:top w:sz="5.600000000000364" w:val="single" w:color="#DDDDDD"/>
              <w:end w:sz="6.400000000000091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4" w:after="0"/>
              <w:ind w:left="12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ISO security alignment, role-based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access</w:t>
            </w:r>
          </w:p>
        </w:tc>
        <w:tc>
          <w:tcPr>
            <w:tcW w:type="dxa" w:w="4560"/>
            <w:tcBorders>
              <w:start w:sz="6.400000000000091" w:val="single" w:color="#DDDDDD"/>
              <w:top w:sz="5.600000000000364" w:val="single" w:color="#DDDDDD"/>
              <w:end w:sz="6.399999999999636" w:val="single" w:color="#DDDDDD"/>
              <w:bottom w:sz="6.399999999999636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6+ years zero security incidents</w:t>
            </w:r>
          </w:p>
        </w:tc>
      </w:tr>
      <w:tr>
        <w:trPr>
          <w:trHeight w:hRule="exact" w:val="764"/>
        </w:trPr>
        <w:tc>
          <w:tcPr>
            <w:tcW w:type="dxa" w:w="2790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API interoperability</w:t>
            </w:r>
          </w:p>
        </w:tc>
        <w:tc>
          <w:tcPr>
            <w:tcW w:type="dxa" w:w="36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2" w:after="0"/>
              <w:ind w:left="122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REST API with comprehensive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documentation</w:t>
            </w:r>
          </w:p>
        </w:tc>
        <w:tc>
          <w:tcPr>
            <w:tcW w:type="dxa" w:w="45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6.399999999999636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Active external tool integrations</w:t>
            </w:r>
          </w:p>
        </w:tc>
      </w:tr>
      <w:tr>
        <w:trPr>
          <w:trHeight w:hRule="exact" w:val="730"/>
        </w:trPr>
        <w:tc>
          <w:tcPr>
            <w:tcW w:type="dxa" w:w="2790"/>
            <w:tcBorders>
              <w:start w:sz="5.599999999999994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Spatial analytics</w:t>
            </w:r>
          </w:p>
        </w:tc>
        <w:tc>
          <w:tcPr>
            <w:tcW w:type="dxa" w:w="3644"/>
            <w:tcBorders>
              <w:start w:sz="6.400000000000091" w:val="single" w:color="#DDDDDD"/>
              <w:top w:sz="6.399999999999636" w:val="single" w:color="#DDDDDD"/>
              <w:end w:sz="6.400000000000091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4" w:after="0"/>
              <w:ind w:left="122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 xml:space="preserve">Map view, interpolation, 3D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visualization</w:t>
            </w:r>
          </w:p>
        </w:tc>
        <w:tc>
          <w:tcPr>
            <w:tcW w:type="dxa" w:w="4560"/>
            <w:tcBorders>
              <w:start w:sz="6.400000000000091" w:val="single" w:color="#DDDDDD"/>
              <w:top w:sz="6.399999999999636" w:val="single" w:color="#DDDDDD"/>
              <w:end w:sz="6.399999999999636" w:val="single" w:color="#DDDDDD"/>
              <w:bottom w:sz="5.600000000000364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350,000+ spatially-referenced samples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350" w:right="420" w:bottom="574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33" w:lineRule="auto" w:before="34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26"/>
        </w:rPr>
        <w:t>13. Conclusion</w:t>
      </w:r>
    </w:p>
    <w:p>
      <w:pPr>
        <w:autoSpaceDN w:val="0"/>
        <w:autoSpaceDE w:val="0"/>
        <w:widowControl/>
        <w:spacing w:line="266" w:lineRule="auto" w:before="264" w:after="110"/>
        <w:ind w:left="452" w:right="1152" w:firstLine="0"/>
        <w:jc w:val="left"/>
      </w:pPr>
      <w:r>
        <w:rPr>
          <w:rFonts w:ascii="Arial" w:hAnsi="Arial" w:eastAsia="Arial"/>
          <w:b w:val="0"/>
          <w:i w:val="0"/>
          <w:color w:val="333333"/>
          <w:sz w:val="21"/>
        </w:rPr>
        <w:t xml:space="preserve">EarthBank represents Lithodat's proven capability to design, build, and operate national-scale geoscience data </w:t>
      </w:r>
      <w:r>
        <w:rPr>
          <w:rFonts w:ascii="Arial" w:hAnsi="Arial" w:eastAsia="Arial"/>
          <w:b w:val="0"/>
          <w:i w:val="0"/>
          <w:color w:val="333333"/>
          <w:sz w:val="21"/>
        </w:rPr>
        <w:t>infrastructure exactly aligned with GDAC-SA Phase 1 requirements. The project demonstrates: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09"/>
        <w:gridCol w:w="4509"/>
      </w:tblGrid>
      <w:tr>
        <w:trPr>
          <w:trHeight w:hRule="exact" w:val="2124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60" w:after="0"/>
              <w:ind w:left="9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Technical Excellence: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CoreTrustSeal certification, FAIR compliance, peer-reviewed publication, 100% uptime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Scalability: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12M+ analytical results, 350,000+ samples, 1,300+ users with room to grow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Multi-Agency Coordination: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Successful integration of federal, state, university, and industry stakeholders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AI-Ready Architecture: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Published machine learning applications, REST API, cloud-native infrastructure </w:t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International Recognition: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Chemical Geology publication, EGU presentation, 27+ citations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F4E78"/>
                <w:sz w:val="21"/>
              </w:rPr>
              <w:t>Sustained Client Satisfaction: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1"/>
              </w:rPr>
              <w:t xml:space="preserve"> 6+ years continuous engagement, contract renewals, funding expansion</w:t>
            </w:r>
          </w:p>
        </w:tc>
      </w:tr>
    </w:tbl>
    <w:p>
      <w:pPr>
        <w:autoSpaceDN w:val="0"/>
        <w:autoSpaceDE w:val="0"/>
        <w:widowControl/>
        <w:spacing w:line="278" w:lineRule="auto" w:before="300" w:after="0"/>
        <w:ind w:left="738" w:right="576" w:firstLine="0"/>
        <w:jc w:val="left"/>
      </w:pPr>
      <w:r>
        <w:rPr>
          <w:rFonts w:ascii="Arial" w:hAnsi="Arial" w:eastAsia="Arial"/>
          <w:b/>
          <w:i w:val="0"/>
          <w:color w:val="1F4E78"/>
          <w:sz w:val="20"/>
        </w:rPr>
        <w:t>Direct Relevance to GDAC-SA: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 Every technical capability, data integration challenge, and multi-agency coordination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requirement that Lithodat successfully delivered for Australia's national geoscience infrastructure is directly applicable </w:t>
      </w:r>
      <w:r>
        <w:rPr>
          <w:rFonts w:ascii="Arial" w:hAnsi="Arial" w:eastAsia="Arial"/>
          <w:b w:val="0"/>
          <w:i w:val="0"/>
          <w:color w:val="333333"/>
          <w:sz w:val="20"/>
        </w:rPr>
        <w:t xml:space="preserve">to the Saudi Geological Survey's GDAC Advanced Analytics Platform. EarthBank is not just a comparable project—it is </w:t>
      </w:r>
      <w:r>
        <w:rPr>
          <w:rFonts w:ascii="Arial" w:hAnsi="Arial" w:eastAsia="Arial"/>
          <w:b w:val="0"/>
          <w:i w:val="0"/>
          <w:color w:val="333333"/>
          <w:sz w:val="20"/>
        </w:rPr>
        <w:t>a proven reference implementation of exactly the type of national geoscience data platform GDAC-SA envisions.</w:t>
      </w:r>
    </w:p>
    <w:p>
      <w:pPr>
        <w:autoSpaceDN w:val="0"/>
        <w:autoSpaceDE w:val="0"/>
        <w:widowControl/>
        <w:spacing w:line="233" w:lineRule="auto" w:before="740" w:after="0"/>
        <w:ind w:left="452" w:right="0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For verification of project performance and technical details, contact:</w:t>
      </w:r>
    </w:p>
    <w:p>
      <w:pPr>
        <w:autoSpaceDN w:val="0"/>
        <w:autoSpaceDE w:val="0"/>
        <w:widowControl/>
        <w:spacing w:line="281" w:lineRule="auto" w:before="160" w:after="0"/>
        <w:ind w:left="452" w:right="8784" w:firstLine="0"/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 xml:space="preserve">Professor Brent McInnes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AuScope Earthbank Director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Curtin University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Email: b.mcinnes@curtin.edu.au</w:t>
      </w:r>
    </w:p>
    <w:p>
      <w:pPr>
        <w:autoSpaceDN w:val="0"/>
        <w:autoSpaceDE w:val="0"/>
        <w:widowControl/>
        <w:spacing w:line="269" w:lineRule="auto" w:before="548" w:after="0"/>
        <w:ind w:left="452" w:right="7488" w:firstLine="0"/>
        <w:jc w:val="left"/>
      </w:pPr>
      <w:r>
        <w:rPr>
          <w:rFonts w:ascii="Arial" w:hAnsi="Arial" w:eastAsia="Arial"/>
          <w:b/>
          <w:i w:val="0"/>
          <w:color w:val="1F4E78"/>
          <w:sz w:val="18"/>
        </w:rPr>
        <w:t>Lithodat Pty Ltd</w:t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 | ABN: 48 647 191 452 </w:t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 xml:space="preserve">Platform: </w:t>
      </w:r>
      <w:r>
        <w:rPr>
          <w:rFonts w:ascii="Arial" w:hAnsi="Arial" w:eastAsia="Arial"/>
          <w:b/>
          <w:i w:val="0"/>
          <w:color w:val="1F4E78"/>
          <w:sz w:val="18"/>
        </w:rPr>
        <w:hyperlink r:id="rId18" w:history="1">
          <w:r>
            <w:rPr>
              <w:rStyle w:val="Hyperlink"/>
            </w:rPr>
            <w:t xml:space="preserve">https://ausgeochem.auscope.org.au/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666666"/>
          <w:sz w:val="18"/>
        </w:rPr>
        <w:t>Support: support@lithodat.com</w:t>
      </w:r>
    </w:p>
    <w:sectPr w:rsidR="00FC693F" w:rsidRPr="0006063C" w:rsidSect="00034616">
      <w:pgSz w:w="11899" w:h="16838"/>
      <w:pgMar w:top="338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doi.org/10.1029/2024TC008362" TargetMode="External"/><Relationship Id="rId16" Type="http://schemas.openxmlformats.org/officeDocument/2006/relationships/hyperlink" Target="https://doi.org/10.1038/s41598-023-35776-3" TargetMode="External"/><Relationship Id="rId17" Type="http://schemas.openxmlformats.org/officeDocument/2006/relationships/hyperlink" Target="https://doi.org/10.1016/j.chemgeo.2009.05.021" TargetMode="External"/><Relationship Id="rId18" Type="http://schemas.openxmlformats.org/officeDocument/2006/relationships/hyperlink" Target="https://ausgeochem.auscope.org.au/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hyperlink" Target="https://doi.org/10.1016/j.chemgeo.2025.123092" TargetMode="External"/><Relationship Id="rId29" Type="http://schemas.openxmlformats.org/officeDocument/2006/relationships/hyperlink" Target="https://doi.org/10.58024/AGUAEBE2CBB4" TargetMode="External"/><Relationship Id="rId30" Type="http://schemas.openxmlformats.org/officeDocument/2006/relationships/hyperlink" Target="https://doi.org/10.25919/p5v1-j775" TargetMode="External"/><Relationship Id="rId31" Type="http://schemas.openxmlformats.org/officeDocument/2006/relationships/hyperlink" Target="https://doi.org/10.57744/LDLDEB878DE5" TargetMode="External"/><Relationship Id="rId32" Type="http://schemas.openxmlformats.org/officeDocument/2006/relationships/hyperlink" Target="https://doi.org/10.5194/egusphere-egu25-14320" TargetMode="External"/><Relationship Id="rId33" Type="http://schemas.openxmlformats.org/officeDocument/2006/relationships/hyperlink" Target="https://doi.org/10.1111/ggr.12419" TargetMode="External"/><Relationship Id="rId34" Type="http://schemas.openxmlformats.org/officeDocument/2006/relationships/hyperlink" Target="https://vocabs.ardc.edu.au/viewById/689" TargetMode="External"/><Relationship Id="rId35" Type="http://schemas.openxmlformats.org/officeDocument/2006/relationships/hyperlink" Target="https://doi.org/10.1016/j.gca.2023.04.024" TargetMode="External"/><Relationship Id="rId36" Type="http://schemas.openxmlformats.org/officeDocument/2006/relationships/hyperlink" Target="https://doi.org/10.1144/SP390.27" TargetMode="External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