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434" w:after="80"/>
        <w:ind w:left="452" w:right="0" w:firstLine="0"/>
        <w:jc w:val="left"/>
      </w:pPr>
      <w:r>
        <w:rPr>
          <w:rFonts w:ascii="Arial" w:hAnsi="Arial" w:eastAsia="Arial"/>
          <w:b/>
          <w:i w:val="0"/>
          <w:color w:val="ABABAB"/>
          <w:sz w:val="48"/>
        </w:rPr>
        <w:t>APPENDIX H: Isotopes.au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509"/>
        <w:gridCol w:w="4509"/>
      </w:tblGrid>
      <w:tr>
        <w:trPr>
          <w:trHeight w:hRule="exact" w:val="1110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3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48"/>
              </w:rPr>
              <w:t xml:space="preserve">Summary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ABABAB"/>
                <w:sz w:val="26"/>
              </w:rPr>
              <w:t>Federal National Stable Isotope Platform – Multi-Agency Scientific Data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8750" cy="380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80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6"/>
        </w:rPr>
        <w:t>Integration</w:t>
      </w:r>
    </w:p>
    <w:p>
      <w:pPr>
        <w:autoSpaceDN w:val="0"/>
        <w:autoSpaceDE w:val="0"/>
        <w:widowControl/>
        <w:spacing w:line="233" w:lineRule="auto" w:before="168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0"/>
        </w:rPr>
        <w:t>GDAC-SA Advanced Analytics Platform RFQ | Lithodat Pty Ltd</w:t>
      </w:r>
    </w:p>
    <w:p>
      <w:pPr>
        <w:autoSpaceDN w:val="0"/>
        <w:autoSpaceDE w:val="0"/>
        <w:widowControl/>
        <w:spacing w:line="278" w:lineRule="auto" w:before="916" w:after="0"/>
        <w:ind w:left="738" w:right="864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Project Overview: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Isotopes.au is Australia's first national digital platform for standardising, integrating, and querying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stable isotope laboratory data across federal agencies and research institutions. Developed by Lithodat Pty Ltd in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partnership with CSIRO, ANSTO, Geoscience Australia, NMI, and ARDC, the platform demonstrates advanced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capability in multi-agency data harmonisation, unified schema design, and FAIR-compliant scientific repository </w:t>
      </w:r>
      <w:r>
        <w:rPr>
          <w:rFonts w:ascii="Arial" w:hAnsi="Arial" w:eastAsia="Arial"/>
          <w:b w:val="0"/>
          <w:i w:val="0"/>
          <w:color w:val="333333"/>
          <w:sz w:val="20"/>
        </w:rPr>
        <w:t>construction—directly applicable to GDAC-SA's national data integration requirements.</w:t>
      </w:r>
    </w:p>
    <w:p>
      <w:pPr>
        <w:autoSpaceDN w:val="0"/>
        <w:autoSpaceDE w:val="0"/>
        <w:widowControl/>
        <w:spacing w:line="235" w:lineRule="auto" w:before="53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About Isotopes.au</w:t>
      </w:r>
    </w:p>
    <w:p>
      <w:pPr>
        <w:autoSpaceDN w:val="0"/>
        <w:autoSpaceDE w:val="0"/>
        <w:widowControl/>
        <w:spacing w:line="271" w:lineRule="auto" w:before="264" w:after="0"/>
        <w:ind w:left="452" w:right="864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Official Launch: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CSIRO, Australia's national science agency, launched Isotopes.au on </w:t>
      </w:r>
      <w:r>
        <w:rPr>
          <w:rFonts w:ascii="Arial" w:hAnsi="Arial" w:eastAsia="Arial"/>
          <w:b/>
          <w:i w:val="0"/>
          <w:color w:val="1F4E78"/>
          <w:sz w:val="21"/>
        </w:rPr>
        <w:t>18 February 2025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as an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important new national resource of isotopic data—food's unique fingerprint—that can be used to help protect and </w:t>
      </w:r>
      <w:r>
        <w:rPr>
          <w:rFonts w:ascii="Arial" w:hAnsi="Arial" w:eastAsia="Arial"/>
          <w:b w:val="0"/>
          <w:i w:val="0"/>
          <w:color w:val="333333"/>
          <w:sz w:val="21"/>
        </w:rPr>
        <w:t>further grow Australia's reputation for high-quality, safe, and sustainably-produced food.</w:t>
      </w:r>
    </w:p>
    <w:p>
      <w:pPr>
        <w:autoSpaceDN w:val="0"/>
        <w:autoSpaceDE w:val="0"/>
        <w:widowControl/>
        <w:spacing w:line="271" w:lineRule="auto" w:before="184" w:after="278"/>
        <w:ind w:left="45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Isotopes.au consolidates a treasure trove of isotopic data from Australia's leading research agencies into a single,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open-access and trusted resource, which can be used by regulators and industry to verify a food's provenance and </w:t>
      </w:r>
      <w:r>
        <w:rPr>
          <w:rFonts w:ascii="Arial" w:hAnsi="Arial" w:eastAsia="Arial"/>
          <w:b w:val="0"/>
          <w:i w:val="0"/>
          <w:color w:val="333333"/>
          <w:sz w:val="21"/>
        </w:rPr>
        <w:t>sustainability claims and ensure compliance with trade regulations.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9019"/>
      </w:tblGrid>
      <w:tr>
        <w:trPr>
          <w:trHeight w:hRule="exact" w:val="6106"/>
        </w:trPr>
        <w:tc>
          <w:tcPr>
            <w:tcW w:type="dxa" w:w="10996"/>
            <w:tcBorders>
              <w:start w:sz="12.0" w:val="single" w:color="#DDDDDD"/>
              <w:top w:sz="12.0" w:val="single" w:color="#DDDDDD"/>
              <w:end w:sz="12.0" w:val="single" w:color="#DDDDDD"/>
              <w:bottom w:sz="12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19900" cy="3713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00" cy="3713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4" w:lineRule="auto" w:before="172" w:after="0"/>
        <w:ind w:left="576" w:right="432" w:firstLine="0"/>
        <w:jc w:val="center"/>
      </w:pPr>
      <w:r>
        <w:rPr>
          <w:rFonts w:ascii="Arial" w:hAnsi="Arial" w:eastAsia="Arial"/>
          <w:b w:val="0"/>
          <w:i/>
          <w:color w:val="666666"/>
          <w:sz w:val="18"/>
        </w:rPr>
        <w:t>Isotope map of Australia created by CSIRO using data from Isotopes.au, demonstrating the platform's ability to visualize complex multi-</w:t>
      </w:r>
      <w:r>
        <w:rPr>
          <w:rFonts w:ascii="Arial" w:hAnsi="Arial" w:eastAsia="Arial"/>
          <w:b w:val="0"/>
          <w:i/>
          <w:color w:val="666666"/>
          <w:sz w:val="18"/>
        </w:rPr>
        <w:t>agency isotopic datasets across the Australian continent.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8" w:lineRule="auto" w:before="18" w:after="0"/>
        <w:ind w:left="452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What are isotopes?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Isotopic data can be used to identify where key food commodities were grown, as well as the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amount of water or carbon emissions that were part of production. Isotopes are unique chemical "fingerprints" that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imprint clues of a product's origin, as well as the inputs that went into production, and environmental factors like soil </w:t>
      </w:r>
      <w:r>
        <w:rPr>
          <w:rFonts w:ascii="Arial" w:hAnsi="Arial" w:eastAsia="Arial"/>
          <w:b w:val="0"/>
          <w:i w:val="0"/>
          <w:color w:val="333333"/>
          <w:sz w:val="21"/>
        </w:rPr>
        <w:t>nutrients and groundwater flows.</w:t>
      </w:r>
    </w:p>
    <w:p>
      <w:pPr>
        <w:autoSpaceDN w:val="0"/>
        <w:autoSpaceDE w:val="0"/>
        <w:widowControl/>
        <w:spacing w:line="266" w:lineRule="auto" w:before="170" w:after="0"/>
        <w:ind w:left="45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CSIRO lead scientist, </w:t>
      </w:r>
      <w:r>
        <w:rPr>
          <w:rFonts w:ascii="Arial" w:hAnsi="Arial" w:eastAsia="Arial"/>
          <w:b/>
          <w:i w:val="0"/>
          <w:color w:val="1F4E78"/>
          <w:sz w:val="21"/>
        </w:rPr>
        <w:t>Dr Nina Welti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, said Isotopes.au could underpin the development of sustainability standards for </w:t>
      </w:r>
      <w:r>
        <w:rPr>
          <w:rFonts w:ascii="Arial" w:hAnsi="Arial" w:eastAsia="Arial"/>
          <w:b w:val="0"/>
          <w:i w:val="0"/>
          <w:color w:val="333333"/>
          <w:sz w:val="21"/>
        </w:rPr>
        <w:t>Australia's $80 billion agriculture and food export industry:</w:t>
      </w:r>
    </w:p>
    <w:p>
      <w:pPr>
        <w:autoSpaceDN w:val="0"/>
        <w:autoSpaceDE w:val="0"/>
        <w:widowControl/>
        <w:spacing w:line="276" w:lineRule="auto" w:before="244" w:after="0"/>
        <w:ind w:left="738" w:right="576" w:firstLine="0"/>
        <w:jc w:val="left"/>
      </w:pPr>
      <w:r>
        <w:rPr>
          <w:rFonts w:ascii="Arial" w:hAnsi="Arial" w:eastAsia="Arial"/>
          <w:b w:val="0"/>
          <w:i/>
          <w:color w:val="555555"/>
          <w:sz w:val="21"/>
        </w:rPr>
        <w:t xml:space="preserve">"Customers increasingly want to know where and how their food was sourced so they can make ethical and more </w:t>
      </w:r>
      <w:r>
        <w:rPr>
          <w:rFonts w:ascii="Arial" w:hAnsi="Arial" w:eastAsia="Arial"/>
          <w:b w:val="0"/>
          <w:i/>
          <w:color w:val="555555"/>
          <w:sz w:val="21"/>
        </w:rPr>
        <w:t>sustainable choices. This is just the beginning of capturing Australia's wealth of isotopic data into one place—</w:t>
      </w:r>
      <w:r>
        <w:rPr>
          <w:rFonts w:ascii="Arial" w:hAnsi="Arial" w:eastAsia="Arial"/>
          <w:b w:val="0"/>
          <w:i/>
          <w:color w:val="555555"/>
          <w:sz w:val="21"/>
        </w:rPr>
        <w:t xml:space="preserve">Isotopes.au—to help industries demonstrate how they're meeting environmental targets for greater transparency </w:t>
      </w:r>
      <w:r>
        <w:rPr>
          <w:rFonts w:ascii="Arial" w:hAnsi="Arial" w:eastAsia="Arial"/>
          <w:b w:val="0"/>
          <w:i/>
          <w:color w:val="555555"/>
          <w:sz w:val="21"/>
        </w:rPr>
        <w:t>with trading partners and consumers."</w:t>
      </w:r>
    </w:p>
    <w:p>
      <w:pPr>
        <w:autoSpaceDN w:val="0"/>
        <w:autoSpaceDE w:val="0"/>
        <w:widowControl/>
        <w:spacing w:line="235" w:lineRule="auto" w:before="152" w:after="0"/>
        <w:ind w:left="73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— Dr Nina Welti, CSIRO Lead Scientist</w:t>
      </w:r>
    </w:p>
    <w:p>
      <w:pPr>
        <w:autoSpaceDN w:val="0"/>
        <w:autoSpaceDE w:val="0"/>
        <w:widowControl/>
        <w:spacing w:line="271" w:lineRule="auto" w:before="236" w:after="0"/>
        <w:ind w:left="45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Multi-Agency Partnership: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Isotopes.au was developed by CSIRO in partnership with Geoscience Australia, the </w:t>
      </w:r>
      <w:r>
        <w:rPr>
          <w:rFonts w:ascii="Arial" w:hAnsi="Arial" w:eastAsia="Arial"/>
          <w:b w:val="0"/>
          <w:i w:val="0"/>
          <w:color w:val="333333"/>
          <w:sz w:val="21"/>
        </w:rPr>
        <w:t>Australian Nuclear Science and Technology Organisation (ANSTO), and the National Measurement Institute, with co-</w:t>
      </w:r>
      <w:r>
        <w:rPr>
          <w:rFonts w:ascii="Arial" w:hAnsi="Arial" w:eastAsia="Arial"/>
          <w:b w:val="0"/>
          <w:i w:val="0"/>
          <w:color w:val="333333"/>
          <w:sz w:val="21"/>
        </w:rPr>
        <w:t>investment from the Australian Research Data Commons (ARDC).</w:t>
      </w:r>
    </w:p>
    <w:p>
      <w:pPr>
        <w:autoSpaceDN w:val="0"/>
        <w:autoSpaceDE w:val="0"/>
        <w:widowControl/>
        <w:spacing w:line="271" w:lineRule="auto" w:before="184" w:after="0"/>
        <w:ind w:left="452" w:right="432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Future Expansion: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Isotopes.au will continue to be expanded to include more data, broadening beyond land-based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measurements. For example, the fisheries and aquaculture industry are set to reap benefits as additional applications </w:t>
      </w:r>
      <w:r>
        <w:rPr>
          <w:rFonts w:ascii="Arial" w:hAnsi="Arial" w:eastAsia="Arial"/>
          <w:b w:val="0"/>
          <w:i w:val="0"/>
          <w:color w:val="333333"/>
          <w:sz w:val="21"/>
        </w:rPr>
        <w:t>are developed to track marine products through the supply chain.</w:t>
      </w:r>
    </w:p>
    <w:p>
      <w:pPr>
        <w:autoSpaceDN w:val="0"/>
        <w:autoSpaceDE w:val="0"/>
        <w:widowControl/>
        <w:spacing w:line="271" w:lineRule="auto" w:before="170" w:after="0"/>
        <w:ind w:left="452" w:right="772" w:firstLine="0"/>
        <w:jc w:val="both"/>
      </w:pPr>
      <w:r>
        <w:rPr>
          <w:rFonts w:ascii="Arial" w:hAnsi="Arial" w:eastAsia="Arial"/>
          <w:b/>
          <w:i w:val="0"/>
          <w:color w:val="1F4E78"/>
          <w:sz w:val="21"/>
        </w:rPr>
        <w:t>National Alignment: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Isotopes.au aligns with industry goals to consolidate data for more trusted supply chains, and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aligns with the National Agricultural Traceability Strategy. It could also support the development of food circularity in </w:t>
      </w:r>
      <w:r>
        <w:rPr>
          <w:rFonts w:ascii="Arial" w:hAnsi="Arial" w:eastAsia="Arial"/>
          <w:b w:val="0"/>
          <w:i w:val="0"/>
          <w:color w:val="333333"/>
          <w:sz w:val="21"/>
        </w:rPr>
        <w:t>production systems by underpinning safety standards for food reuse.</w:t>
      </w:r>
    </w:p>
    <w:p>
      <w:pPr>
        <w:autoSpaceDN w:val="0"/>
        <w:autoSpaceDE w:val="0"/>
        <w:widowControl/>
        <w:spacing w:line="233" w:lineRule="auto" w:before="360" w:after="0"/>
        <w:ind w:left="738" w:right="0" w:firstLine="0"/>
        <w:jc w:val="left"/>
      </w:pPr>
      <w:r>
        <w:rPr>
          <w:rFonts w:ascii="Arial" w:hAnsi="Arial" w:eastAsia="Arial"/>
          <w:b/>
          <w:i w:val="0"/>
          <w:color w:val="10B981"/>
          <w:sz w:val="20"/>
        </w:rPr>
        <w:t>Platform Access: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Explore Isotopes.au at </w:t>
      </w:r>
      <w:r>
        <w:rPr>
          <w:rFonts w:ascii="Arial" w:hAnsi="Arial" w:eastAsia="Arial"/>
          <w:b/>
          <w:i w:val="0"/>
          <w:color w:val="10B981"/>
          <w:sz w:val="20"/>
        </w:rPr>
        <w:hyperlink r:id="rId11" w:history="1">
          <w:r>
            <w:rPr>
              <w:rStyle w:val="Hyperlink"/>
            </w:rPr>
            <w:t>https://app.isotopes.au</w:t>
          </w:r>
        </w:hyperlink>
      </w:r>
    </w:p>
    <w:p>
      <w:pPr>
        <w:autoSpaceDN w:val="0"/>
        <w:autoSpaceDE w:val="0"/>
        <w:widowControl/>
        <w:spacing w:line="235" w:lineRule="auto" w:before="78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1. Executive Summary</w:t>
      </w:r>
    </w:p>
    <w:p>
      <w:pPr>
        <w:autoSpaceDN w:val="0"/>
        <w:autoSpaceDE w:val="0"/>
        <w:widowControl/>
        <w:spacing w:line="233" w:lineRule="auto" w:before="33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1.1 What is Isotopes.au?</w:t>
      </w:r>
    </w:p>
    <w:p>
      <w:pPr>
        <w:autoSpaceDN w:val="0"/>
        <w:autoSpaceDE w:val="0"/>
        <w:widowControl/>
        <w:spacing w:line="278" w:lineRule="auto" w:before="122" w:after="0"/>
        <w:ind w:left="45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Isotopes.au is a federated data solution that integrates sample-based stable isotope data from diverse Australian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federal agencies and research institutions into a unified, well-defined data model accessible through a web platform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and API. The project was co-funded by the Australian Research Data Commons (ARDC) and led by CSIRO in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collaboration with Geoscience Australia, the Australian Nuclear Science and Technology Organisation (ANSTO), and </w:t>
      </w:r>
      <w:r>
        <w:rPr>
          <w:rFonts w:ascii="Arial" w:hAnsi="Arial" w:eastAsia="Arial"/>
          <w:b w:val="0"/>
          <w:i w:val="0"/>
          <w:color w:val="333333"/>
          <w:sz w:val="21"/>
        </w:rPr>
        <w:t>the National Measurement Institute (NMI).</w:t>
      </w:r>
    </w:p>
    <w:p>
      <w:pPr>
        <w:autoSpaceDN w:val="0"/>
        <w:autoSpaceDE w:val="0"/>
        <w:widowControl/>
        <w:spacing w:line="278" w:lineRule="auto" w:before="170" w:after="0"/>
        <w:ind w:left="45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developed the complete platform by extending its LithoSurfer infrastructure to support isotope-specific data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models. The system reads data from six institutional data sources, provided by three different agencies (ANSTO,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CSIRO, Geoscience Australia), maps it to a consolidated national data model, and makes it publicly accessible via </w:t>
      </w:r>
      <w:r>
        <w:rPr>
          <w:rFonts w:ascii="Arial" w:hAnsi="Arial" w:eastAsia="Arial"/>
          <w:b/>
          <w:i w:val="0"/>
          <w:color w:val="1F4E78"/>
          <w:sz w:val="21"/>
        </w:rPr>
        <w:hyperlink r:id="rId11" w:history="1">
          <w:r>
            <w:rPr>
              <w:rStyle w:val="Hyperlink"/>
            </w:rPr>
            <w:t>https://app.isotopes.au</w:t>
          </w:r>
        </w:hyperlink>
      </w:r>
      <w:r>
        <w:rPr>
          <w:rFonts w:ascii="Arial" w:hAnsi="Arial" w:eastAsia="Arial"/>
          <w:b w:val="0"/>
          <w:i w:val="0"/>
          <w:color w:val="333333"/>
          <w:sz w:val="21"/>
        </w:rPr>
        <w:t>.</w:t>
      </w:r>
    </w:p>
    <w:p>
      <w:pPr>
        <w:autoSpaceDN w:val="0"/>
        <w:autoSpaceDE w:val="0"/>
        <w:widowControl/>
        <w:spacing w:line="233" w:lineRule="auto" w:before="25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1.2 Relevance to GDAC-SA Project</w:t>
      </w:r>
    </w:p>
    <w:p>
      <w:pPr>
        <w:autoSpaceDN w:val="0"/>
        <w:autoSpaceDE w:val="0"/>
        <w:widowControl/>
        <w:spacing w:line="266" w:lineRule="auto" w:before="108" w:after="0"/>
        <w:ind w:left="45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Isotopes.au demonstrates Lithodat's proven capability to address GDAC-SA's core multi-agency data integration </w:t>
      </w:r>
      <w:r>
        <w:rPr>
          <w:rFonts w:ascii="Arial" w:hAnsi="Arial" w:eastAsia="Arial"/>
          <w:b w:val="0"/>
          <w:i w:val="0"/>
          <w:color w:val="333333"/>
          <w:sz w:val="21"/>
        </w:rPr>
        <w:t>challenges: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4" w:after="0"/>
        <w:ind w:left="52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Multi-Agency Data Harmonisation: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Successfully integrated heterogeneous datasets from 5 federal organizations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(CSIRO, ANSTO, Geoscience Australia, NMI, ARDC), each with different data conventions, measurement units,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and metadata structures—directly analogous to GDAC's challenge of harmonizing Saudi geological survey data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across departments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Unified National Schema: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Developed a controlled vocabulary (ontology) with 250+ standardized field mappings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validated across institutional data sources, demonstrating expertise in creating unified data models for national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infrastructure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Hybrid Ingestion Architecture: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Implemented both automated adapters (for structured agency data) and semi-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automated import wizards (for legacy/irregular datasets), providing flexible ingestion pathways applicable to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GDAC's diverse data sources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FAIR Compliance: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Platform built on LithoSurfer infrastructure that achieved CoreTrustSeal certification, ensuring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FAIR data principles implementation required for national scientific repositories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Scientific Data Integration: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Platform handles complex isotopic measurements (δ¹³C, δ¹</w:t>
      </w:r>
      <w:r>
        <w:rPr>
          <w:rFonts w:ascii="" w:hAnsi="" w:eastAsia=""/>
          <w:b w:val="0"/>
          <w:i w:val="0"/>
          <w:color w:val="333333"/>
          <w:sz w:val="21"/>
        </w:rPr>
        <w:t>⁸</w:t>
      </w:r>
      <w:r>
        <w:rPr>
          <w:rFonts w:ascii="Arial" w:hAnsi="Arial" w:eastAsia="Arial"/>
          <w:b w:val="0"/>
          <w:i w:val="0"/>
          <w:color w:val="333333"/>
          <w:sz w:val="21"/>
        </w:rPr>
        <w:t>O, δ²H, δ¹</w:t>
      </w:r>
      <w:r>
        <w:rPr>
          <w:rFonts w:ascii="" w:hAnsi="" w:eastAsia=""/>
          <w:b w:val="0"/>
          <w:i w:val="0"/>
          <w:color w:val="333333"/>
          <w:sz w:val="21"/>
        </w:rPr>
        <w:t>⁵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N, Sr, Nd, Pb)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with full procedural metadata and quality control—directly relevant to GDAC's geochemical and isotopic data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integration needs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API-First Design: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RESTful API enables programmatic access for analytics tools, external systems integration,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automated workflows—essential for GDAC's advanced analytics requirements</w:t>
      </w:r>
    </w:p>
    <w:p>
      <w:pPr>
        <w:autoSpaceDN w:val="0"/>
        <w:autoSpaceDE w:val="0"/>
        <w:widowControl/>
        <w:spacing w:line="281" w:lineRule="auto" w:before="358" w:after="0"/>
        <w:ind w:left="288" w:right="288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Critical GDAC-SA Alignment: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Isotopes.au solves the exact multi-agency data harmonisation problem that GDAC-SA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faces. Where GDAC must integrate geological datasets across Saudi survey departments with inconsistent formats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and conventions, Isotopes.au successfully harmonised isotope data across Australian federal agencies with equally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diverse data structures. The technical approaches, governance frameworks, and integration architectures are directly </w:t>
      </w:r>
      <w:r>
        <w:rPr>
          <w:rFonts w:ascii="Arial" w:hAnsi="Arial" w:eastAsia="Arial"/>
          <w:b w:val="0"/>
          <w:i w:val="0"/>
          <w:color w:val="333333"/>
          <w:sz w:val="20"/>
        </w:rPr>
        <w:t>transferable to the Saudi Geological Survey context.</w:t>
      </w:r>
    </w:p>
    <w:p>
      <w:pPr>
        <w:autoSpaceDN w:val="0"/>
        <w:autoSpaceDE w:val="0"/>
        <w:widowControl/>
        <w:spacing w:line="235" w:lineRule="auto" w:before="51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2. Multi-Agency Data Integration Architecture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2.1 Partner Institutions</w:t>
      </w:r>
    </w:p>
    <w:p>
      <w:pPr>
        <w:autoSpaceDN w:val="0"/>
        <w:autoSpaceDE w:val="0"/>
        <w:widowControl/>
        <w:spacing w:line="235" w:lineRule="auto" w:before="122" w:after="164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Isotopes.au integrates data from five major Australian government agencies and research institutions: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66"/>
        </w:trPr>
        <w:tc>
          <w:tcPr>
            <w:tcW w:type="dxa" w:w="217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Institution</w:t>
            </w:r>
          </w:p>
        </w:tc>
        <w:tc>
          <w:tcPr>
            <w:tcW w:type="dxa" w:w="255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Role</w:t>
            </w:r>
          </w:p>
        </w:tc>
        <w:tc>
          <w:tcPr>
            <w:tcW w:type="dxa" w:w="627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Data Contribution</w:t>
            </w:r>
          </w:p>
        </w:tc>
      </w:tr>
      <w:tr>
        <w:trPr>
          <w:trHeight w:hRule="exact" w:val="764"/>
        </w:trPr>
        <w:tc>
          <w:tcPr>
            <w:tcW w:type="dxa" w:w="217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CSIRO</w:t>
            </w:r>
          </w:p>
        </w:tc>
        <w:tc>
          <w:tcPr>
            <w:tcW w:type="dxa" w:w="255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12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Project Lead, Data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Provider</w:t>
            </w:r>
          </w:p>
        </w:tc>
        <w:tc>
          <w:tcPr>
            <w:tcW w:type="dxa" w:w="627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Environmental isotopes laboratory data (2 data sources)</w:t>
            </w:r>
          </w:p>
        </w:tc>
      </w:tr>
      <w:tr>
        <w:trPr>
          <w:trHeight w:hRule="exact" w:val="750"/>
        </w:trPr>
        <w:tc>
          <w:tcPr>
            <w:tcW w:type="dxa" w:w="217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ANSTO</w:t>
            </w:r>
          </w:p>
        </w:tc>
        <w:tc>
          <w:tcPr>
            <w:tcW w:type="dxa" w:w="255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Data Provider</w:t>
            </w:r>
          </w:p>
        </w:tc>
        <w:tc>
          <w:tcPr>
            <w:tcW w:type="dxa" w:w="627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4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Isoscape datasets, GNIP (Global Network of Isotopes in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Precipitation) data</w:t>
            </w:r>
          </w:p>
        </w:tc>
      </w:tr>
      <w:tr>
        <w:trPr>
          <w:trHeight w:hRule="exact" w:val="750"/>
        </w:trPr>
        <w:tc>
          <w:tcPr>
            <w:tcW w:type="dxa" w:w="217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Geoscience </w:t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Australia</w:t>
            </w:r>
          </w:p>
        </w:tc>
        <w:tc>
          <w:tcPr>
            <w:tcW w:type="dxa" w:w="255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Data Provider</w:t>
            </w:r>
          </w:p>
        </w:tc>
        <w:tc>
          <w:tcPr>
            <w:tcW w:type="dxa" w:w="627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National isotope surveys, hydrochemistry datasets (2 data sources)</w:t>
            </w:r>
          </w:p>
        </w:tc>
      </w:tr>
      <w:tr>
        <w:trPr>
          <w:trHeight w:hRule="exact" w:val="480"/>
        </w:trPr>
        <w:tc>
          <w:tcPr>
            <w:tcW w:type="dxa" w:w="217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NMI</w:t>
            </w:r>
          </w:p>
        </w:tc>
        <w:tc>
          <w:tcPr>
            <w:tcW w:type="dxa" w:w="255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Standards Authority</w:t>
            </w:r>
          </w:p>
        </w:tc>
        <w:tc>
          <w:tcPr>
            <w:tcW w:type="dxa" w:w="627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Isotope measurement standards, calibration data</w:t>
            </w:r>
          </w:p>
        </w:tc>
      </w:tr>
      <w:tr>
        <w:trPr>
          <w:trHeight w:hRule="exact" w:val="480"/>
        </w:trPr>
        <w:tc>
          <w:tcPr>
            <w:tcW w:type="dxa" w:w="217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ARDC</w:t>
            </w:r>
          </w:p>
        </w:tc>
        <w:tc>
          <w:tcPr>
            <w:tcW w:type="dxa" w:w="2550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Co-Funder</w:t>
            </w:r>
          </w:p>
        </w:tc>
        <w:tc>
          <w:tcPr>
            <w:tcW w:type="dxa" w:w="62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Australian Research Data Commons infrastructure funding</w:t>
            </w:r>
          </w:p>
        </w:tc>
      </w:tr>
    </w:tbl>
    <w:p>
      <w:pPr>
        <w:autoSpaceDN w:val="0"/>
        <w:autoSpaceDE w:val="0"/>
        <w:widowControl/>
        <w:spacing w:line="233" w:lineRule="auto" w:before="20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2.2 Data Source Integration</w:t>
      </w:r>
    </w:p>
    <w:p>
      <w:pPr>
        <w:autoSpaceDN w:val="0"/>
        <w:autoSpaceDE w:val="0"/>
        <w:widowControl/>
        <w:spacing w:line="233" w:lineRule="auto" w:before="108" w:after="166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platform integrates 6 distinct institutional data sources through custom-developed adapters: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464"/>
        </w:trPr>
        <w:tc>
          <w:tcPr>
            <w:tcW w:type="dxa" w:w="1378"/>
            <w:tcBorders>
              <w:start w:sz="5.599999999999994" w:val="single" w:color="#DDDDDD"/>
              <w:top w:sz="5.600000000000364" w:val="single" w:color="#DDDDDD"/>
              <w:end w:sz="5.600000000000023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Adapter</w:t>
            </w:r>
          </w:p>
        </w:tc>
        <w:tc>
          <w:tcPr>
            <w:tcW w:type="dxa" w:w="2612"/>
            <w:tcBorders>
              <w:start w:sz="5.600000000000023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Institution</w:t>
            </w:r>
          </w:p>
        </w:tc>
        <w:tc>
          <w:tcPr>
            <w:tcW w:type="dxa" w:w="424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Data Source</w:t>
            </w:r>
          </w:p>
        </w:tc>
        <w:tc>
          <w:tcPr>
            <w:tcW w:type="dxa" w:w="27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Update Frequency</w:t>
            </w:r>
          </w:p>
        </w:tc>
      </w:tr>
      <w:tr>
        <w:trPr>
          <w:trHeight w:hRule="exact" w:val="480"/>
        </w:trPr>
        <w:tc>
          <w:tcPr>
            <w:tcW w:type="dxa" w:w="1378"/>
            <w:tcBorders>
              <w:start w:sz="5.599999999999994" w:val="single" w:color="#DDDDDD"/>
              <w:top w:sz="5.600000000000364" w:val="single" w:color="#DDDDDD"/>
              <w:end w:sz="5.600000000000023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Adapter 1</w:t>
            </w:r>
          </w:p>
        </w:tc>
        <w:tc>
          <w:tcPr>
            <w:tcW w:type="dxa" w:w="2612"/>
            <w:tcBorders>
              <w:start w:sz="5.600000000000023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ANSTO</w:t>
            </w:r>
          </w:p>
        </w:tc>
        <w:tc>
          <w:tcPr>
            <w:tcW w:type="dxa" w:w="424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Isoscape datasets</w:t>
            </w:r>
          </w:p>
        </w:tc>
        <w:tc>
          <w:tcPr>
            <w:tcW w:type="dxa" w:w="27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Manual (on new data)</w:t>
            </w:r>
          </w:p>
        </w:tc>
      </w:tr>
      <w:tr>
        <w:trPr>
          <w:trHeight w:hRule="exact" w:val="480"/>
        </w:trPr>
        <w:tc>
          <w:tcPr>
            <w:tcW w:type="dxa" w:w="1378"/>
            <w:tcBorders>
              <w:start w:sz="5.599999999999994" w:val="single" w:color="#DDDDDD"/>
              <w:top w:sz="5.600000000000364" w:val="single" w:color="#DDDDDD"/>
              <w:end w:sz="5.600000000000023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Adapter 2</w:t>
            </w:r>
          </w:p>
        </w:tc>
        <w:tc>
          <w:tcPr>
            <w:tcW w:type="dxa" w:w="2612"/>
            <w:tcBorders>
              <w:start w:sz="5.600000000000023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ANSTO</w:t>
            </w:r>
          </w:p>
        </w:tc>
        <w:tc>
          <w:tcPr>
            <w:tcW w:type="dxa" w:w="424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GNIP (precipitation isotopes)</w:t>
            </w:r>
          </w:p>
        </w:tc>
        <w:tc>
          <w:tcPr>
            <w:tcW w:type="dxa" w:w="27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Manual (on new data)</w:t>
            </w:r>
          </w:p>
        </w:tc>
      </w:tr>
      <w:tr>
        <w:trPr>
          <w:trHeight w:hRule="exact" w:val="466"/>
        </w:trPr>
        <w:tc>
          <w:tcPr>
            <w:tcW w:type="dxa" w:w="1378"/>
            <w:tcBorders>
              <w:start w:sz="5.599999999999994" w:val="single" w:color="#DDDDDD"/>
              <w:top w:sz="5.600000000000364" w:val="single" w:color="#DDDDDD"/>
              <w:end w:sz="5.600000000000023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Adapter 3</w:t>
            </w:r>
          </w:p>
        </w:tc>
        <w:tc>
          <w:tcPr>
            <w:tcW w:type="dxa" w:w="2612"/>
            <w:tcBorders>
              <w:start w:sz="5.600000000000023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CSIRO</w:t>
            </w:r>
          </w:p>
        </w:tc>
        <w:tc>
          <w:tcPr>
            <w:tcW w:type="dxa" w:w="424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LabData (laboratory measurements)</w:t>
            </w:r>
          </w:p>
        </w:tc>
        <w:tc>
          <w:tcPr>
            <w:tcW w:type="dxa" w:w="27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(daily)</w:t>
            </w:r>
          </w:p>
        </w:tc>
      </w:tr>
      <w:tr>
        <w:trPr>
          <w:trHeight w:hRule="exact" w:val="480"/>
        </w:trPr>
        <w:tc>
          <w:tcPr>
            <w:tcW w:type="dxa" w:w="1378"/>
            <w:tcBorders>
              <w:start w:sz="5.599999999999994" w:val="single" w:color="#DDDDDD"/>
              <w:top w:sz="6.399999999999636" w:val="single" w:color="#DDDDDD"/>
              <w:end w:sz="5.600000000000023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Adapter 4</w:t>
            </w:r>
          </w:p>
        </w:tc>
        <w:tc>
          <w:tcPr>
            <w:tcW w:type="dxa" w:w="2612"/>
            <w:tcBorders>
              <w:start w:sz="5.600000000000023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CSIRO</w:t>
            </w:r>
          </w:p>
        </w:tc>
        <w:tc>
          <w:tcPr>
            <w:tcW w:type="dxa" w:w="42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DAP (Data Access Portal)</w:t>
            </w:r>
          </w:p>
        </w:tc>
        <w:tc>
          <w:tcPr>
            <w:tcW w:type="dxa" w:w="27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(weekly)</w:t>
            </w:r>
          </w:p>
        </w:tc>
      </w:tr>
      <w:tr>
        <w:trPr>
          <w:trHeight w:hRule="exact" w:val="480"/>
        </w:trPr>
        <w:tc>
          <w:tcPr>
            <w:tcW w:type="dxa" w:w="1378"/>
            <w:tcBorders>
              <w:start w:sz="5.599999999999994" w:val="single" w:color="#DDDDDD"/>
              <w:top w:sz="6.399999999999636" w:val="single" w:color="#DDDDDD"/>
              <w:end w:sz="5.600000000000023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Adapter 5</w:t>
            </w:r>
          </w:p>
        </w:tc>
        <w:tc>
          <w:tcPr>
            <w:tcW w:type="dxa" w:w="2612"/>
            <w:tcBorders>
              <w:start w:sz="5.600000000000023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Geoscience Australia</w:t>
            </w:r>
          </w:p>
        </w:tc>
        <w:tc>
          <w:tcPr>
            <w:tcW w:type="dxa" w:w="42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National isotope surveys</w:t>
            </w:r>
          </w:p>
        </w:tc>
        <w:tc>
          <w:tcPr>
            <w:tcW w:type="dxa" w:w="27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(bi-weekly)</w:t>
            </w:r>
          </w:p>
        </w:tc>
      </w:tr>
      <w:tr>
        <w:trPr>
          <w:trHeight w:hRule="exact" w:val="464"/>
        </w:trPr>
        <w:tc>
          <w:tcPr>
            <w:tcW w:type="dxa" w:w="1378"/>
            <w:tcBorders>
              <w:start w:sz="5.599999999999994" w:val="single" w:color="#DDDDDD"/>
              <w:top w:sz="6.399999999999636" w:val="single" w:color="#DDDDDD"/>
              <w:end w:sz="5.600000000000023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Adapter 6</w:t>
            </w:r>
          </w:p>
        </w:tc>
        <w:tc>
          <w:tcPr>
            <w:tcW w:type="dxa" w:w="2612"/>
            <w:tcBorders>
              <w:start w:sz="5.600000000000023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Geoscience Australia</w:t>
            </w:r>
          </w:p>
        </w:tc>
        <w:tc>
          <w:tcPr>
            <w:tcW w:type="dxa" w:w="42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Hydrochemistry datasets</w:t>
            </w:r>
          </w:p>
        </w:tc>
        <w:tc>
          <w:tcPr>
            <w:tcW w:type="dxa" w:w="27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(bi-weekly)</w:t>
            </w:r>
          </w:p>
        </w:tc>
      </w:tr>
    </w:tbl>
    <w:p>
      <w:pPr>
        <w:autoSpaceDN w:val="0"/>
        <w:autoSpaceDE w:val="0"/>
        <w:widowControl/>
        <w:spacing w:line="233" w:lineRule="auto" w:before="20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2.3 Unified Data Model (Ontology)</w:t>
      </w:r>
    </w:p>
    <w:p>
      <w:pPr>
        <w:sectPr>
          <w:pgSz w:w="11899" w:h="16838"/>
          <w:pgMar w:top="348" w:right="420" w:bottom="51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designed a comprehensive isotope ontology to harmonize data across all institutional sources: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250+ Field Mappings: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Standardized field definitions validated across all six data sources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97% Match Rate: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After iterative refinement, ontology achieved 97% successful mapping of institutional fields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37 New Terms: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Ontology expanded to accommodate agency-specific terminology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Controlled Vocabularies: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Standardized terms for isotope types, measurement methods, material types, quality</w:t>
      </w:r>
    </w:p>
    <w:p>
      <w:pPr>
        <w:autoSpaceDN w:val="0"/>
        <w:autoSpaceDE w:val="0"/>
        <w:widowControl/>
        <w:spacing w:line="235" w:lineRule="auto" w:before="64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flags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Semantic Alignment: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Resolved duplicate labels (e.g., 'SampleID' vs 'Sample_ID'), inconsistent date formats,</w:t>
      </w:r>
    </w:p>
    <w:p>
      <w:pPr>
        <w:autoSpaceDN w:val="0"/>
        <w:autoSpaceDE w:val="0"/>
        <w:widowControl/>
        <w:spacing w:line="233" w:lineRule="auto" w:before="50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overlapping definitions</w:t>
      </w:r>
    </w:p>
    <w:p>
      <w:pPr>
        <w:autoSpaceDN w:val="0"/>
        <w:autoSpaceDE w:val="0"/>
        <w:widowControl/>
        <w:spacing w:line="233" w:lineRule="auto" w:before="186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Core Data Entities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514"/>
        <w:gridCol w:w="5514"/>
      </w:tblGrid>
      <w:tr>
        <w:trPr>
          <w:trHeight w:hRule="exact" w:val="480"/>
        </w:trPr>
        <w:tc>
          <w:tcPr>
            <w:tcW w:type="dxa" w:w="2026"/>
            <w:tcBorders>
              <w:start w:sz="5.599999999999994" w:val="single" w:color="#DDDDDD"/>
              <w:top w:sz="5.599999999999909" w:val="single" w:color="#DDDDDD"/>
              <w:end w:sz="5.600000000000023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Entity</w:t>
            </w:r>
          </w:p>
        </w:tc>
        <w:tc>
          <w:tcPr>
            <w:tcW w:type="dxa" w:w="8968"/>
            <w:tcBorders>
              <w:start w:sz="5.600000000000023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Description</w:t>
            </w:r>
          </w:p>
        </w:tc>
      </w:tr>
      <w:tr>
        <w:trPr>
          <w:trHeight w:hRule="exact" w:val="480"/>
        </w:trPr>
        <w:tc>
          <w:tcPr>
            <w:tcW w:type="dxa" w:w="2026"/>
            <w:tcBorders>
              <w:start w:sz="5.599999999999994" w:val="single" w:color="#DDDDDD"/>
              <w:top w:sz="5.599999999999909" w:val="single" w:color="#DDDDDD"/>
              <w:end w:sz="5.600000000000023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Sample</w:t>
            </w:r>
          </w:p>
        </w:tc>
        <w:tc>
          <w:tcPr>
            <w:tcW w:type="dxa" w:w="8968"/>
            <w:tcBorders>
              <w:start w:sz="5.600000000000023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Physical specimens with collection metadata, coordinates, lithology</w:t>
            </w:r>
          </w:p>
        </w:tc>
      </w:tr>
      <w:tr>
        <w:trPr>
          <w:trHeight w:hRule="exact" w:val="464"/>
        </w:trPr>
        <w:tc>
          <w:tcPr>
            <w:tcW w:type="dxa" w:w="2026"/>
            <w:tcBorders>
              <w:start w:sz="5.599999999999994" w:val="single" w:color="#DDDDDD"/>
              <w:top w:sz="5.599999999999909" w:val="single" w:color="#DDDDDD"/>
              <w:end w:sz="5.600000000000023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Site</w:t>
            </w:r>
          </w:p>
        </w:tc>
        <w:tc>
          <w:tcPr>
            <w:tcW w:type="dxa" w:w="8968"/>
            <w:tcBorders>
              <w:start w:sz="5.600000000000023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Sampling locations with geographic coordinates, environmental context</w:t>
            </w:r>
          </w:p>
        </w:tc>
      </w:tr>
      <w:tr>
        <w:trPr>
          <w:trHeight w:hRule="exact" w:val="480"/>
        </w:trPr>
        <w:tc>
          <w:tcPr>
            <w:tcW w:type="dxa" w:w="202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Measurement</w:t>
            </w:r>
          </w:p>
        </w:tc>
        <w:tc>
          <w:tcPr>
            <w:tcW w:type="dxa" w:w="8968"/>
            <w:tcBorders>
              <w:start w:sz="5.600000000000023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Isotopic analyses with values, uncertainties, quality flags</w:t>
            </w:r>
          </w:p>
        </w:tc>
      </w:tr>
      <w:tr>
        <w:trPr>
          <w:trHeight w:hRule="exact" w:val="480"/>
        </w:trPr>
        <w:tc>
          <w:tcPr>
            <w:tcW w:type="dxa" w:w="202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Method</w:t>
            </w:r>
          </w:p>
        </w:tc>
        <w:tc>
          <w:tcPr>
            <w:tcW w:type="dxa" w:w="8968"/>
            <w:tcBorders>
              <w:start w:sz="5.600000000000023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Analytical procedures, instruments, standards, reference materials</w:t>
            </w:r>
          </w:p>
        </w:tc>
      </w:tr>
      <w:tr>
        <w:trPr>
          <w:trHeight w:hRule="exact" w:val="464"/>
        </w:trPr>
        <w:tc>
          <w:tcPr>
            <w:tcW w:type="dxa" w:w="202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Agent</w:t>
            </w:r>
          </w:p>
        </w:tc>
        <w:tc>
          <w:tcPr>
            <w:tcW w:type="dxa" w:w="8968"/>
            <w:tcBorders>
              <w:start w:sz="5.600000000000023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Laboratories, analysts, organizations responsible for data</w:t>
            </w:r>
          </w:p>
        </w:tc>
      </w:tr>
    </w:tbl>
    <w:p>
      <w:pPr>
        <w:autoSpaceDN w:val="0"/>
        <w:autoSpaceDE w:val="0"/>
        <w:widowControl/>
        <w:spacing w:line="235" w:lineRule="auto" w:before="274" w:after="25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3. Project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514"/>
        <w:gridCol w:w="5514"/>
      </w:tblGrid>
      <w:tr>
        <w:trPr>
          <w:trHeight w:hRule="exact" w:val="466"/>
        </w:trPr>
        <w:tc>
          <w:tcPr>
            <w:tcW w:type="dxa" w:w="317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Attribute</w:t>
            </w:r>
          </w:p>
        </w:tc>
        <w:tc>
          <w:tcPr>
            <w:tcW w:type="dxa" w:w="7816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Details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Project Name</w:t>
            </w:r>
          </w:p>
        </w:tc>
        <w:tc>
          <w:tcPr>
            <w:tcW w:type="dxa" w:w="7816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Isotopes.au: Federal National Stable Isotope Data Platform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Platform URL</w:t>
            </w:r>
          </w:p>
        </w:tc>
        <w:tc>
          <w:tcPr>
            <w:tcW w:type="dxa" w:w="7816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hyperlink r:id="rId11" w:history="1">
                <w:r>
                  <w:rPr>
                    <w:rStyle w:val="Hyperlink"/>
                  </w:rPr>
                  <w:t>https://app.isotopes.au</w:t>
                </w:r>
              </w:hyperlink>
            </w:r>
          </w:p>
        </w:tc>
      </w:tr>
      <w:tr>
        <w:trPr>
          <w:trHeight w:hRule="exact" w:val="464"/>
        </w:trPr>
        <w:tc>
          <w:tcPr>
            <w:tcW w:type="dxa" w:w="317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Project Location</w:t>
            </w:r>
          </w:p>
        </w:tc>
        <w:tc>
          <w:tcPr>
            <w:tcW w:type="dxa" w:w="7816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Australia (nationwide)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Client/Partners</w:t>
            </w:r>
          </w:p>
        </w:tc>
        <w:tc>
          <w:tcPr>
            <w:tcW w:type="dxa" w:w="7816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CSIRO, Geoscience Australia, ANSTO, National Measurement Institute, ARDC</w:t>
            </w:r>
          </w:p>
        </w:tc>
      </w:tr>
      <w:tr>
        <w:trPr>
          <w:trHeight w:hRule="exact" w:val="466"/>
        </w:trPr>
        <w:tc>
          <w:tcPr>
            <w:tcW w:type="dxa" w:w="317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Funding</w:t>
            </w:r>
          </w:p>
        </w:tc>
        <w:tc>
          <w:tcPr>
            <w:tcW w:type="dxa" w:w="7816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Australian Research Data Commons (ARDC) + CSIRO co-funding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Contract Value</w:t>
            </w:r>
          </w:p>
        </w:tc>
        <w:tc>
          <w:tcPr>
            <w:tcW w:type="dxa" w:w="781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$400,000 AUD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Contract Duration</w:t>
            </w:r>
          </w:p>
        </w:tc>
        <w:tc>
          <w:tcPr>
            <w:tcW w:type="dxa" w:w="781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2023 – 2025 (ongoing hosting and support) | Total Program: 2024 – 2028</w:t>
            </w:r>
          </w:p>
        </w:tc>
      </w:tr>
      <w:tr>
        <w:trPr>
          <w:trHeight w:hRule="exact" w:val="464"/>
        </w:trPr>
        <w:tc>
          <w:tcPr>
            <w:tcW w:type="dxa" w:w="3178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Start Date</w:t>
            </w:r>
          </w:p>
        </w:tc>
        <w:tc>
          <w:tcPr>
            <w:tcW w:type="dxa" w:w="781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May 2023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Delivery/Completion</w:t>
            </w:r>
          </w:p>
        </w:tc>
        <w:tc>
          <w:tcPr>
            <w:tcW w:type="dxa" w:w="781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Platform operational (ongoing expansion to 2028)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Project Lead (Lithodat)</w:t>
            </w:r>
          </w:p>
        </w:tc>
        <w:tc>
          <w:tcPr>
            <w:tcW w:type="dxa" w:w="781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Dr. Fabian Kohlmann – Managing Director</w:t>
            </w:r>
          </w:p>
        </w:tc>
      </w:tr>
      <w:tr>
        <w:trPr>
          <w:trHeight w:hRule="exact" w:val="466"/>
        </w:trPr>
        <w:tc>
          <w:tcPr>
            <w:tcW w:type="dxa" w:w="3178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Technical Lead (Lithodat)</w:t>
            </w:r>
          </w:p>
        </w:tc>
        <w:tc>
          <w:tcPr>
            <w:tcW w:type="dxa" w:w="781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Moritz Theile – Operations Director</w:t>
            </w:r>
          </w:p>
        </w:tc>
      </w:tr>
      <w:tr>
        <w:trPr>
          <w:trHeight w:hRule="exact" w:val="480"/>
        </w:trPr>
        <w:tc>
          <w:tcPr>
            <w:tcW w:type="dxa" w:w="3178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Architecture Lead (Lithodat)</w:t>
            </w:r>
          </w:p>
        </w:tc>
        <w:tc>
          <w:tcPr>
            <w:tcW w:type="dxa" w:w="7816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Wayne Noble – Technical Director</w:t>
            </w:r>
          </w:p>
        </w:tc>
      </w:tr>
      <w:tr>
        <w:trPr>
          <w:trHeight w:hRule="exact" w:val="1034"/>
        </w:trPr>
        <w:tc>
          <w:tcPr>
            <w:tcW w:type="dxa" w:w="3178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Reference Contact</w:t>
            </w:r>
          </w:p>
        </w:tc>
        <w:tc>
          <w:tcPr>
            <w:tcW w:type="dxa" w:w="7816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4" w:after="0"/>
              <w:ind w:left="122" w:right="360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Dr. Nina Welti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CSIRO – Environmental Isotopes Laboratory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Email: nina.welti@csiro.au</w:t>
            </w:r>
          </w:p>
        </w:tc>
      </w:tr>
    </w:tbl>
    <w:p>
      <w:pPr>
        <w:autoSpaceDN w:val="0"/>
        <w:autoSpaceDE w:val="0"/>
        <w:widowControl/>
        <w:spacing w:line="235" w:lineRule="auto" w:before="2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4. Technical Architecture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4.1 Platform Infrastructure</w:t>
      </w:r>
    </w:p>
    <w:p>
      <w:pPr>
        <w:sectPr>
          <w:pgSz w:w="11899" w:h="16838"/>
          <w:pgMar w:top="348" w:right="420" w:bottom="46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Isotopes.au is built on Lithodat's LithoSurfer platform, extended with isotope-specific data models: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Cloud Architecture: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100% AWS-hosted (Elastic Beanstalk, RDS PostgreSQL, S3 storage)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Base Platform: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LithoSurfer (in public use since 2021, CoreTrustSeal certified)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Database: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PostgreSQL relational database with custom isotope schema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Security: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Role-based access control (RBAC), curator/contributor roles, data package permissions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Scalability: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Modular architecture supports additional data models and institutions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API: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RESTful web services with comprehensive Swagger documentation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4.2 Data Ingestion Architecture</w:t>
      </w:r>
    </w:p>
    <w:p>
      <w:pPr>
        <w:autoSpaceDN w:val="0"/>
        <w:autoSpaceDE w:val="0"/>
        <w:widowControl/>
        <w:spacing w:line="235" w:lineRule="auto" w:before="12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platform implements a hybrid ingestion model supporting both automated and manual data workflows:</w:t>
      </w:r>
    </w:p>
    <w:p>
      <w:pPr>
        <w:autoSpaceDN w:val="0"/>
        <w:autoSpaceDE w:val="0"/>
        <w:widowControl/>
        <w:spacing w:line="233" w:lineRule="auto" w:before="1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Automated Adapters</w:t>
      </w:r>
    </w:p>
    <w:p>
      <w:pPr>
        <w:autoSpaceDN w:val="0"/>
        <w:autoSpaceDE w:val="0"/>
        <w:widowControl/>
        <w:spacing w:line="233" w:lineRule="auto" w:before="12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Six custom adapters connect institutional data sources to the platform: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Adapter Logic: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Java Spring Boot applications hosted on Lithodat AWS infrastructure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Mapping Algorithms: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Translate arbitrary data source formats to consolidated isotope ontology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Update Strategy: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Delete-and-transmit-all approach for data synchronization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Trigger Mechanisms: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Automated (daily/weekly/bi-weekly) or manual depending on data source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Error Handling: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Email notifications to institutional data stewards on adapter failures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Monitoring: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Lithodat jobserver (jobserver.lithosurfer.io) provides scheduled execution and logging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Import Wizard (Semi-Automated)</w:t>
      </w:r>
    </w:p>
    <w:p>
      <w:pPr>
        <w:autoSpaceDN w:val="0"/>
        <w:autoSpaceDE w:val="0"/>
        <w:widowControl/>
        <w:spacing w:line="235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For human-generated or legacy data that requires manual oversight: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Interactive Validation: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User feedback loop identifies errors (missing columns, non-unique keys, data type</w:t>
      </w:r>
    </w:p>
    <w:p>
      <w:pPr>
        <w:autoSpaceDN w:val="0"/>
        <w:autoSpaceDE w:val="0"/>
        <w:widowControl/>
        <w:spacing w:line="233" w:lineRule="auto" w:before="66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mismatches)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Field Mapping Accuracy: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93-96% across diverse datasets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Rejection Rate: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Under 6% after QA validation pass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Import Time: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Most datasets imported in under 15 minutes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Use Case: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Small/irregular datasets, legacy archives, novel data structures</w:t>
      </w:r>
    </w:p>
    <w:p>
      <w:pPr>
        <w:autoSpaceDN w:val="0"/>
        <w:autoSpaceDE w:val="0"/>
        <w:widowControl/>
        <w:spacing w:line="233" w:lineRule="auto" w:before="252" w:after="8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4.3 Supported Isotope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31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Isotope System</w:t>
            </w:r>
          </w:p>
        </w:tc>
        <w:tc>
          <w:tcPr>
            <w:tcW w:type="dxa" w:w="1708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Status</w:t>
            </w:r>
          </w:p>
        </w:tc>
        <w:tc>
          <w:tcPr>
            <w:tcW w:type="dxa" w:w="618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Applications</w:t>
            </w:r>
          </w:p>
        </w:tc>
      </w:tr>
      <w:tr>
        <w:trPr>
          <w:trHeight w:hRule="exact" w:val="480"/>
        </w:trPr>
        <w:tc>
          <w:tcPr>
            <w:tcW w:type="dxa" w:w="31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δ¹³C (Carbon-13)</w:t>
            </w:r>
          </w:p>
        </w:tc>
        <w:tc>
          <w:tcPr>
            <w:tcW w:type="dxa" w:w="1708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Climate reconstruction, carbon cycling, food web analysis</w:t>
            </w:r>
          </w:p>
        </w:tc>
      </w:tr>
      <w:tr>
        <w:trPr>
          <w:trHeight w:hRule="exact" w:val="464"/>
        </w:trPr>
        <w:tc>
          <w:tcPr>
            <w:tcW w:type="dxa" w:w="31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δ¹</w:t>
            </w:r>
            <w:r>
              <w:rPr>
                <w:rFonts w:ascii="" w:hAnsi="" w:eastAsia=""/>
                <w:b w:val="0"/>
                <w:i w:val="0"/>
                <w:color w:val="333333"/>
                <w:sz w:val="20"/>
              </w:rPr>
              <w:t>⁸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 (Oxygen-18)</w:t>
            </w:r>
          </w:p>
        </w:tc>
        <w:tc>
          <w:tcPr>
            <w:tcW w:type="dxa" w:w="1708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Paleoclimate, hydrology, oceanography</w:t>
            </w:r>
          </w:p>
        </w:tc>
      </w:tr>
      <w:tr>
        <w:trPr>
          <w:trHeight w:hRule="exact" w:val="480"/>
        </w:trPr>
        <w:tc>
          <w:tcPr>
            <w:tcW w:type="dxa" w:w="31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δ²H (Deuterium)</w:t>
            </w:r>
          </w:p>
        </w:tc>
        <w:tc>
          <w:tcPr>
            <w:tcW w:type="dxa" w:w="1708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Water sourcing, precipitation tracking, hydrology</w:t>
            </w:r>
          </w:p>
        </w:tc>
      </w:tr>
      <w:tr>
        <w:trPr>
          <w:trHeight w:hRule="exact" w:val="480"/>
        </w:trPr>
        <w:tc>
          <w:tcPr>
            <w:tcW w:type="dxa" w:w="31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δ¹</w:t>
            </w:r>
            <w:r>
              <w:rPr>
                <w:rFonts w:ascii="" w:hAnsi="" w:eastAsia=""/>
                <w:b w:val="0"/>
                <w:i w:val="0"/>
                <w:color w:val="333333"/>
                <w:sz w:val="20"/>
              </w:rPr>
              <w:t>⁵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 (Nitrogen-15)</w:t>
            </w:r>
          </w:p>
        </w:tc>
        <w:tc>
          <w:tcPr>
            <w:tcW w:type="dxa" w:w="1708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Nutrient cycling, contamination tracking, ecology</w:t>
            </w:r>
          </w:p>
        </w:tc>
      </w:tr>
      <w:tr>
        <w:trPr>
          <w:trHeight w:hRule="exact" w:val="466"/>
        </w:trPr>
        <w:tc>
          <w:tcPr>
            <w:tcW w:type="dxa" w:w="31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333333"/>
                <w:sz w:val="20"/>
              </w:rPr>
              <w:t>⁸⁷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Sr/</w:t>
            </w:r>
            <w:r>
              <w:rPr>
                <w:rFonts w:ascii="" w:hAnsi="" w:eastAsia=""/>
                <w:b w:val="0"/>
                <w:i w:val="0"/>
                <w:color w:val="333333"/>
                <w:sz w:val="20"/>
              </w:rPr>
              <w:t>⁸⁶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Sr (Strontium)</w:t>
            </w:r>
          </w:p>
        </w:tc>
        <w:tc>
          <w:tcPr>
            <w:tcW w:type="dxa" w:w="1708"/>
            <w:tcBorders>
              <w:start w:sz="5.599999999999909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Provenance studies, mineral exploration, geochronology</w:t>
            </w:r>
          </w:p>
        </w:tc>
      </w:tr>
      <w:tr>
        <w:trPr>
          <w:trHeight w:hRule="exact" w:val="480"/>
        </w:trPr>
        <w:tc>
          <w:tcPr>
            <w:tcW w:type="dxa" w:w="3106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Nd, Pb (Neodymium, Lead)</w:t>
            </w:r>
          </w:p>
        </w:tc>
        <w:tc>
          <w:tcPr>
            <w:tcW w:type="dxa" w:w="1708"/>
            <w:tcBorders>
              <w:start w:sz="5.599999999999909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Crustal evolution, mineral exploration</w:t>
            </w:r>
          </w:p>
        </w:tc>
      </w:tr>
      <w:tr>
        <w:trPr>
          <w:trHeight w:hRule="exact" w:val="480"/>
        </w:trPr>
        <w:tc>
          <w:tcPr>
            <w:tcW w:type="dxa" w:w="3106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δ³</w:t>
            </w:r>
            <w:r>
              <w:rPr>
                <w:rFonts w:ascii="" w:hAnsi="" w:eastAsia=""/>
                <w:b w:val="0"/>
                <w:i w:val="0"/>
                <w:color w:val="333333"/>
                <w:sz w:val="20"/>
              </w:rPr>
              <w:t>⁴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 (Sulfur-34)</w:t>
            </w:r>
          </w:p>
        </w:tc>
        <w:tc>
          <w:tcPr>
            <w:tcW w:type="dxa" w:w="1708"/>
            <w:tcBorders>
              <w:start w:sz="5.599999999999909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w w:val="98.46153846153845"/>
                <w:rFonts w:ascii="" w:hAnsi="" w:eastAsia=""/>
                <w:b w:val="0"/>
                <w:i w:val="0"/>
                <w:color w:val="333333"/>
                <w:sz w:val="16"/>
              </w:rPr>
              <w:t>✅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Supported</w:t>
            </w:r>
          </w:p>
        </w:tc>
        <w:tc>
          <w:tcPr>
            <w:tcW w:type="dxa" w:w="618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Mineral deposits, environmental contamination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4.4 Platform Features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08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Public Website: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Geospatial map view with filtering, search, and download functionality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Protected Curator Area: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Data package management, upload, editing, publishing workflows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 Packages: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Project-based organization with institutional ownership and access control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API Access: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RESTful endpoints for data retrieval, upload, filtering (documented via Swagger)</w:t>
      </w:r>
    </w:p>
    <w:p>
      <w:pPr>
        <w:sectPr>
          <w:pgSz w:w="11899" w:h="16838"/>
          <w:pgMar w:top="348" w:right="420" w:bottom="38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MapBox Integration: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Interactive maps with GeoJSON rendering for spatial visualization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Filtering Tools: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Filter by isotope type, measurement method, material type, geographic region, date range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PID/IGSN/DOI Minting: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Persistent identifiers for samples and datasets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Export Capabilities: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GeoJSON, CSV, API programmatic access</w:t>
      </w:r>
    </w:p>
    <w:p>
      <w:pPr>
        <w:autoSpaceDN w:val="0"/>
        <w:autoSpaceDE w:val="0"/>
        <w:widowControl/>
        <w:spacing w:line="233" w:lineRule="auto" w:before="30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5. FAIR Compliance and Data Quality</w:t>
      </w:r>
    </w:p>
    <w:p>
      <w:pPr>
        <w:autoSpaceDN w:val="0"/>
        <w:autoSpaceDE w:val="0"/>
        <w:widowControl/>
        <w:spacing w:line="233" w:lineRule="auto" w:before="34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5.1 FAIR Data Principles Implementation</w:t>
      </w:r>
    </w:p>
    <w:p>
      <w:pPr>
        <w:autoSpaceDN w:val="0"/>
        <w:autoSpaceDE w:val="0"/>
        <w:widowControl/>
        <w:spacing w:line="233" w:lineRule="auto" w:before="108" w:after="166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Isotopes.au implements comprehensive FAIR (Findable, Accessible, Interoperable, Reusable) data principles: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514"/>
        <w:gridCol w:w="5514"/>
      </w:tblGrid>
      <w:tr>
        <w:trPr>
          <w:trHeight w:hRule="exact" w:val="468"/>
        </w:trPr>
        <w:tc>
          <w:tcPr>
            <w:tcW w:type="dxa" w:w="199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FAIR Principle</w:t>
            </w:r>
          </w:p>
        </w:tc>
        <w:tc>
          <w:tcPr>
            <w:tcW w:type="dxa" w:w="9000"/>
            <w:tcBorders>
              <w:start w:sz="6.399999999999977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Implementation</w:t>
            </w:r>
          </w:p>
        </w:tc>
      </w:tr>
      <w:tr>
        <w:trPr>
          <w:trHeight w:hRule="exact" w:val="1034"/>
        </w:trPr>
        <w:tc>
          <w:tcPr>
            <w:tcW w:type="dxa" w:w="199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Findable</w:t>
            </w:r>
          </w:p>
        </w:tc>
        <w:tc>
          <w:tcPr>
            <w:tcW w:type="dxa" w:w="9000"/>
            <w:tcBorders>
              <w:start w:sz="6.399999999999977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4" w:after="0"/>
              <w:ind w:left="120" w:right="48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Persistent identifiers (DOI, IGSN)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Rich metadata with controlled vocabularies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Searchable web interface and API</w:t>
            </w:r>
          </w:p>
        </w:tc>
      </w:tr>
      <w:tr>
        <w:trPr>
          <w:trHeight w:hRule="exact" w:val="1034"/>
        </w:trPr>
        <w:tc>
          <w:tcPr>
            <w:tcW w:type="dxa" w:w="1994"/>
            <w:tcBorders>
              <w:start w:sz="5.599999999999994" w:val="single" w:color="#DDDDDD"/>
              <w:top w:sz="5.599999999999909" w:val="single" w:color="#DDDDDD"/>
              <w:end w:sz="6.399999999999977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Accessible</w:t>
            </w:r>
          </w:p>
        </w:tc>
        <w:tc>
          <w:tcPr>
            <w:tcW w:type="dxa" w:w="9000"/>
            <w:tcBorders>
              <w:start w:sz="6.399999999999977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4" w:after="0"/>
              <w:ind w:left="120" w:right="53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Open API with authentication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Public web portal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RESTful web services (HTTP/HTTPS)</w:t>
            </w:r>
          </w:p>
        </w:tc>
      </w:tr>
      <w:tr>
        <w:trPr>
          <w:trHeight w:hRule="exact" w:val="1036"/>
        </w:trPr>
        <w:tc>
          <w:tcPr>
            <w:tcW w:type="dxa" w:w="199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Interoperable</w:t>
            </w:r>
          </w:p>
        </w:tc>
        <w:tc>
          <w:tcPr>
            <w:tcW w:type="dxa" w:w="9000"/>
            <w:tcBorders>
              <w:start w:sz="6.399999999999977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4" w:after="0"/>
              <w:ind w:left="120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Standardized ontology (250+ terms)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API returns JSON/GeoJSON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Integration with external systems (e.g., Australian Agricultural Data Exchange)</w:t>
            </w:r>
          </w:p>
        </w:tc>
      </w:tr>
      <w:tr>
        <w:trPr>
          <w:trHeight w:hRule="exact" w:val="1320"/>
        </w:trPr>
        <w:tc>
          <w:tcPr>
            <w:tcW w:type="dxa" w:w="1994"/>
            <w:tcBorders>
              <w:start w:sz="5.599999999999994" w:val="single" w:color="#DDDDDD"/>
              <w:top w:sz="6.400000000000091" w:val="single" w:color="#DDDDDD"/>
              <w:end w:sz="6.399999999999977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Reusable</w:t>
            </w:r>
          </w:p>
        </w:tc>
        <w:tc>
          <w:tcPr>
            <w:tcW w:type="dxa" w:w="9000"/>
            <w:tcBorders>
              <w:start w:sz="6.399999999999977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02" w:after="0"/>
              <w:ind w:left="120" w:right="51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Comprehensive procedural metadata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Usage licenses defined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Provenance tracking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• Quality flags and uncertainty measures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5.2 CoreTrustSeal Alignment</w:t>
      </w:r>
    </w:p>
    <w:p>
      <w:pPr>
        <w:autoSpaceDN w:val="0"/>
        <w:autoSpaceDE w:val="0"/>
        <w:widowControl/>
        <w:spacing w:line="235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LithoSurfer platform (on which Isotopes.au is built) achieved CoreTrustSeal certification for the AusGeochem</w:t>
      </w:r>
    </w:p>
    <w:p>
      <w:pPr>
        <w:autoSpaceDN w:val="0"/>
        <w:autoSpaceDE w:val="0"/>
        <w:widowControl/>
        <w:spacing w:line="235" w:lineRule="auto" w:before="6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portal. This certification validates: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Long-term operational sustainability (decades-scale archive preservation)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Robust security and backup procedures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Documented data governance policies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Organizational and financial stability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Technical infrastructure reliability</w:t>
      </w:r>
    </w:p>
    <w:p>
      <w:pPr>
        <w:autoSpaceDN w:val="0"/>
        <w:autoSpaceDE w:val="0"/>
        <w:widowControl/>
        <w:spacing w:line="233" w:lineRule="auto" w:before="3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6. Project Performance Evaluation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6.1 Overall Performance Rating</w:t>
      </w:r>
    </w:p>
    <w:p>
      <w:pPr>
        <w:autoSpaceDN w:val="0"/>
        <w:autoSpaceDE w:val="0"/>
        <w:widowControl/>
        <w:spacing w:line="233" w:lineRule="auto" w:before="282" w:after="0"/>
        <w:ind w:left="288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Performance Rating: Excellent (5/5)</w:t>
      </w:r>
    </w:p>
    <w:p>
      <w:pPr>
        <w:autoSpaceDN w:val="0"/>
        <w:autoSpaceDE w:val="0"/>
        <w:widowControl/>
        <w:spacing w:line="233" w:lineRule="auto" w:before="62" w:after="498"/>
        <w:ind w:left="28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100% successful delivery of multi-agency data integration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66"/>
        </w:trPr>
        <w:tc>
          <w:tcPr>
            <w:tcW w:type="dxa" w:w="2206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Performance Metric</w:t>
            </w:r>
          </w:p>
        </w:tc>
        <w:tc>
          <w:tcPr>
            <w:tcW w:type="dxa" w:w="1092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Rating</w:t>
            </w:r>
          </w:p>
        </w:tc>
        <w:tc>
          <w:tcPr>
            <w:tcW w:type="dxa" w:w="7696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Evidence</w:t>
            </w:r>
          </w:p>
        </w:tc>
      </w:tr>
      <w:tr>
        <w:trPr>
          <w:trHeight w:hRule="exact" w:val="480"/>
        </w:trPr>
        <w:tc>
          <w:tcPr>
            <w:tcW w:type="dxa" w:w="22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On-Time Delivery</w:t>
            </w:r>
          </w:p>
        </w:tc>
        <w:tc>
          <w:tcPr>
            <w:tcW w:type="dxa" w:w="1092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69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Platform operational within contracted timeline (2023-2025)</w:t>
            </w:r>
          </w:p>
        </w:tc>
      </w:tr>
      <w:tr>
        <w:trPr>
          <w:trHeight w:hRule="exact" w:val="480"/>
        </w:trPr>
        <w:tc>
          <w:tcPr>
            <w:tcW w:type="dxa" w:w="22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Technical Quality</w:t>
            </w:r>
          </w:p>
        </w:tc>
        <w:tc>
          <w:tcPr>
            <w:tcW w:type="dxa" w:w="1092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69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FAIR compliance, CoreTrustSeal-aligned infrastructure, 97% ontology match rate</w:t>
            </w:r>
          </w:p>
        </w:tc>
      </w:tr>
      <w:tr>
        <w:trPr>
          <w:trHeight w:hRule="exact" w:val="444"/>
        </w:trPr>
        <w:tc>
          <w:tcPr>
            <w:tcW w:type="dxa" w:w="220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Client Satisfaction</w:t>
            </w:r>
          </w:p>
        </w:tc>
        <w:tc>
          <w:tcPr>
            <w:tcW w:type="dxa" w:w="1092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696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Contract extension for ongoing hosting (2023-2025), program expansion to 2028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48" w:right="420" w:bottom="47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2206"/>
            <w:tcBorders>
              <w:start w:sz="5.599999999999994" w:val="single" w:color="#DDDDDD"/>
              <w:top w:sz="5.600000000000023" w:val="single" w:color="#DDDDDD"/>
              <w:end w:sz="5.599999999999909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Performance Metric</w:t>
            </w:r>
          </w:p>
        </w:tc>
        <w:tc>
          <w:tcPr>
            <w:tcW w:type="dxa" w:w="1092"/>
            <w:tcBorders>
              <w:start w:sz="5.599999999999909" w:val="single" w:color="#DDDDDD"/>
              <w:top w:sz="5.600000000000023" w:val="single" w:color="#DDDDDD"/>
              <w:end w:sz="5.599999999999909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Rating</w:t>
            </w:r>
          </w:p>
        </w:tc>
        <w:tc>
          <w:tcPr>
            <w:tcW w:type="dxa" w:w="7696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Evidence</w:t>
            </w:r>
          </w:p>
        </w:tc>
      </w:tr>
      <w:tr>
        <w:trPr>
          <w:trHeight w:hRule="exact" w:val="466"/>
        </w:trPr>
        <w:tc>
          <w:tcPr>
            <w:tcW w:type="dxa" w:w="2206"/>
            <w:tcBorders>
              <w:start w:sz="5.599999999999994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Budget Compliance</w:t>
            </w:r>
          </w:p>
        </w:tc>
        <w:tc>
          <w:tcPr>
            <w:tcW w:type="dxa" w:w="1092"/>
            <w:tcBorders>
              <w:start w:sz="5.599999999999909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696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Delivered within budget, ongoing support contract awarded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6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6.2 Key Performance Outcomes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283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60" w:after="0"/>
              <w:ind w:left="92" w:right="432" w:firstLine="0"/>
              <w:jc w:val="left"/>
            </w:pP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Multi-agency collaboration successfully managed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(CSIRO, Geoscience Australia, ANSTO, NMI, ARDC)</w:t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All deliverables met on schedule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(2023-2025)</w:t>
            </w:r>
            <w:r>
              <w:br/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FAIR-aligned metadata governance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successfully implemented across 6 data sources</w:t>
            </w:r>
            <w:r>
              <w:br/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Full AWS infrastructure deployment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completed to specification</w:t>
            </w:r>
            <w:r>
              <w:br/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Client renewal for ongoing hosting and support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demonstrates satisfaction</w:t>
            </w:r>
            <w:r>
              <w:br/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Cross-laboratory interoperability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achieved across multiple federal agencies</w:t>
            </w:r>
            <w:r>
              <w:br/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Automated QA/QC pipelines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operational and validated</w:t>
            </w:r>
            <w:r>
              <w:br/>
            </w:r>
            <w:r>
              <w:rPr>
                <w:w w:val="97.30316742081449"/>
                <w:rFonts w:ascii="" w:hAnsi="" w:eastAsia=""/>
                <w:b w:val="0"/>
                <w:i w:val="0"/>
                <w:color w:val="333333"/>
                <w:sz w:val="17"/>
              </w:rPr>
              <w:t>✅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Full compatibility with EarthBank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(national infrastructure integration capability)</w:t>
            </w:r>
          </w:p>
        </w:tc>
      </w:tr>
    </w:tbl>
    <w:p>
      <w:pPr>
        <w:autoSpaceDN w:val="0"/>
        <w:autoSpaceDE w:val="0"/>
        <w:widowControl/>
        <w:spacing w:line="233" w:lineRule="auto" w:before="19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6.3 Client Satisfaction Indicators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08" w:after="0"/>
        <w:ind w:left="52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Multi-Agency Success: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Harmonized data standards across 5 federal organizations (CSIRO, ANSTO, GA, NMI,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ARDC)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Contract Extension: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Ongoing hosting and support contract (2023-2025) with program expansion to 2028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Technical Achievement: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Successfully unified 6 heterogeneous institutional data sources with 97% ontology match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rate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Interoperability: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Seamless integration with existing national infrastructure (EarthBank compatibility)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Reference Availability: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Dr. Nina Welti (CSIRO) available to verify performance</w:t>
      </w:r>
    </w:p>
    <w:p>
      <w:pPr>
        <w:autoSpaceDN w:val="0"/>
        <w:autoSpaceDE w:val="0"/>
        <w:widowControl/>
        <w:spacing w:line="235" w:lineRule="auto" w:before="304" w:after="483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7. Key Technical Capabilities Demonstrated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414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54" w:after="0"/>
              <w:ind w:left="9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Hybrid Ingestion: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Automated adapters for structured data + import wizard for legacy/irregular data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Validation Pipelines: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Automated QA/QC with user feedback for error correction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Metadata Enrichment: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Automatic addition of missing fields (e.g., elevation data from external sources)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Data Package Model: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Institutional ownership preserved through package-based organization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4509"/>
        <w:gridCol w:w="4509"/>
      </w:tblGrid>
      <w:tr>
        <w:trPr>
          <w:trHeight w:hRule="exact" w:val="7380"/>
        </w:trPr>
        <w:tc>
          <w:tcPr>
            <w:tcW w:type="dxa" w:w="210"/>
            <w:tcBorders>
              <w:top w:sz="11.199999999999818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7.</w:t>
            </w:r>
          </w:p>
          <w:p>
            <w:pPr>
              <w:autoSpaceDN w:val="0"/>
              <w:autoSpaceDE w:val="0"/>
              <w:widowControl/>
              <w:spacing w:line="266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go</w:t>
            </w:r>
          </w:p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</w:t>
            </w:r>
          </w:p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5" w:lineRule="auto" w:before="19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So</w:t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6" w:lineRule="auto" w:before="20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7.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D</w:t>
            </w:r>
          </w:p>
          <w:p>
            <w:pPr>
              <w:autoSpaceDN w:val="0"/>
              <w:autoSpaceDE w:val="0"/>
              <w:widowControl/>
              <w:spacing w:line="240" w:lineRule="auto" w:before="2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top w:sz="11.199999999999818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06" w:after="0"/>
              <w:ind w:left="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7.1 Multi-Agency Data Harmonization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Is otopes.au solved the exact challenge GDAC-SA faces: integrating heterogeneous datasets from multiple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government agencies with inconsistent data formats, conventions, and metadata structures.</w:t>
            </w:r>
          </w:p>
          <w:p>
            <w:pPr>
              <w:autoSpaceDN w:val="0"/>
              <w:autoSpaceDE w:val="0"/>
              <w:widowControl/>
              <w:spacing w:line="290" w:lineRule="auto" w:before="170" w:after="0"/>
              <w:ind w:left="300" w:right="144" w:hanging="30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 xml:space="preserve">Challenges Overcome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Semantic Inconsistencies: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Different agencies used different terminology for same concepts (e.g., 'SampleID' vs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'Sample_ID')</w:t>
            </w:r>
          </w:p>
          <w:p>
            <w:pPr>
              <w:autoSpaceDN w:val="0"/>
              <w:autoSpaceDE w:val="0"/>
              <w:widowControl/>
              <w:spacing w:line="298" w:lineRule="auto" w:before="1594" w:after="0"/>
              <w:ind w:left="300" w:right="576" w:hanging="30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 xml:space="preserve">Solutions Implemented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Controlled Vocabulary (Ontology):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250+ standardized terms developed through iterative consultation with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agencies</w:t>
            </w:r>
          </w:p>
          <w:p>
            <w:pPr>
              <w:autoSpaceDN w:val="0"/>
              <w:autoSpaceDE w:val="0"/>
              <w:widowControl/>
              <w:spacing w:line="286" w:lineRule="auto" w:before="1660" w:after="0"/>
              <w:ind w:left="0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7. 2 Schema Design and Ontology Development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Development of national unified schema validated through systematic experimentation:</w:t>
            </w:r>
          </w:p>
          <w:p>
            <w:pPr>
              <w:autoSpaceDN w:val="0"/>
              <w:autoSpaceDE w:val="0"/>
              <w:widowControl/>
              <w:spacing w:line="235" w:lineRule="auto" w:before="184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Field Mapping: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250+ field names mapped across 6 institutional sources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40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9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Data Format Variability: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Date formats, measurement units, coordinate systems varied across sources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Quality Control Diversity: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Each institution had different QA/QC procedures and quality flag definitions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Metadata Completeness: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Varying levels of metadata richness required gap-filling strategies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Legacy Data Integration: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Historical datasets with incomplete/inconsistent documentation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Iterative Refinement: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3 rounds of ontology validation achieving 97% match rate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Ontology Expansion: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37 new terms added to accommodate agency-specific requirements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Definition Clarity: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4 field definitions adjusted for improved interoperability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Vocabulary Control: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Standardized lists for isotope types, methods, materials, quality flags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7.3 API-First Architecture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RESTful API enables programmatic access and external system integration: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Comprehensive Documentation: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Swagger/OpenAPI specification for all endpoints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Authentication: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Secure token-based access control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 Retrieval: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Query by isotope type, geographic region, date range, institution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 Upload: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Programmatic ingestion for external systems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Export Formats: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JSON, GeoJSON, CSV for maximum interoperability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External Integration: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Platform designed for integration with systems like Australian Agricultural Data Exchange</w:t>
      </w:r>
    </w:p>
    <w:p>
      <w:pPr>
        <w:autoSpaceDN w:val="0"/>
        <w:autoSpaceDE w:val="0"/>
        <w:widowControl/>
        <w:spacing w:line="233" w:lineRule="auto" w:before="3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8. Governance and Data Stewardship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8.1 Data Package Ownership Model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Isotopes.au implements institutional data sovereignty through data package architecture: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Package-Based Organization: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Each adapter feeds into dedicated data package owned by contributing institution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Institutional Control: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Agencies retain full control over their contributed datasets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Publishing Workflow: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Data not visible to public until explicitly published by institution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Access Control: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Role-based permissions (curator, contributor, public reader)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Team Collaboration: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Institutional teams can collaborate on package development before publication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8.2 Adapter Hosting and Maintenance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provides ongoing operational support for all 6 institutional adapters: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AWS Infrastructure Hosting: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All adapters hosted on Lithodat's Elastic Beanstalk infrastructure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Automated Monitoring: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Jobserver execution logs, error notifications to institutional contacts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Update Services: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Adapter modifications available at fixed hourly rate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Source Code Availability: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GitHub repository access for institutional developers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Scheduled Execution: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Daily, weekly, or bi-weekly data synchronization depending on source</w:t>
      </w:r>
    </w:p>
    <w:p>
      <w:pPr>
        <w:autoSpaceDN w:val="0"/>
        <w:autoSpaceDE w:val="0"/>
        <w:widowControl/>
        <w:spacing w:line="235" w:lineRule="auto" w:before="3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9. Platform Metrics and Usage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9.1 Key Performance Indicators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Isotopes.au implements comprehensive usage analytics via Google Analytics and Metabase dashboards: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KPI: Application Visits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– Tracks platform loads and user sessions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KPI: Search Data Records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– Measures use of search functionality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KPI: Isotope Downloads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– Counts dataset downloads for research use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Visualization: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Metabase dashboard with daily/monthly granularity available to stakeholders</w:t>
      </w:r>
    </w:p>
    <w:p>
      <w:pPr>
        <w:autoSpaceDN w:val="0"/>
        <w:autoSpaceDE w:val="0"/>
        <w:widowControl/>
        <w:spacing w:line="233" w:lineRule="auto" w:before="1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Public Dashboard:</w:t>
      </w:r>
      <w:r>
        <w:rPr>
          <w:rFonts w:ascii="Arial" w:hAnsi="Arial" w:eastAsia="Arial"/>
          <w:b/>
          <w:i w:val="0"/>
          <w:color w:val="1F4E78"/>
          <w:sz w:val="21"/>
        </w:rPr>
        <w:hyperlink r:id="rId22" w:history="1">
          <w:r>
            <w:rPr>
              <w:rStyle w:val="Hyperlink"/>
            </w:rPr>
            <w:t>https://metabase.lithosurfer.io/public/dashboard/0793edf0-9675-41e5-b338-7d0668e1f384?</w:t>
          </w:r>
        </w:hyperlink>
      </w:r>
    </w:p>
    <w:p>
      <w:pPr>
        <w:autoSpaceDN w:val="0"/>
        <w:autoSpaceDE w:val="0"/>
        <w:widowControl/>
        <w:spacing w:line="233" w:lineRule="auto" w:before="6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hyperlink r:id="rId22" w:history="1">
          <w:r>
            <w:rPr>
              <w:rStyle w:val="Hyperlink"/>
            </w:rPr>
            <w:t>tab=1-per-day</w:t>
          </w:r>
        </w:hyperlink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9.2 User Metrics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Platform analytics track user behavior for continuous improvement: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Pageviews and session duration</w:t>
      </w:r>
    </w:p>
    <w:p>
      <w:pPr>
        <w:sectPr>
          <w:pgSz w:w="11899" w:h="16838"/>
          <w:pgMar w:top="348" w:right="420" w:bottom="402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Bounce rate and conversion metrics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Geographic distribution of users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Feature usage patterns (map view, filtering, downloads)</w:t>
      </w:r>
    </w:p>
    <w:p>
      <w:pPr>
        <w:autoSpaceDN w:val="0"/>
        <w:autoSpaceDE w:val="0"/>
        <w:widowControl/>
        <w:spacing w:line="235" w:lineRule="auto" w:before="320" w:after="242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10. Alignment with GDAC-SA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2970"/>
            <w:tcBorders>
              <w:start w:sz="5.599999999999994" w:val="single" w:color="#DDDDDD"/>
              <w:top w:sz="5.600000000000023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GDAC-SA Requirement</w:t>
            </w:r>
          </w:p>
        </w:tc>
        <w:tc>
          <w:tcPr>
            <w:tcW w:type="dxa" w:w="4244"/>
            <w:tcBorders>
              <w:start w:sz="6.400000000000091" w:val="single" w:color="#DDDDDD"/>
              <w:top w:sz="5.600000000000023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Isotopes.au Demonstration</w:t>
            </w:r>
          </w:p>
        </w:tc>
        <w:tc>
          <w:tcPr>
            <w:tcW w:type="dxa" w:w="3780"/>
            <w:tcBorders>
              <w:start w:sz="6.400000000000091" w:val="single" w:color="#DDDDDD"/>
              <w:top w:sz="5.600000000000023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Evidence</w:t>
            </w:r>
          </w:p>
        </w:tc>
      </w:tr>
      <w:tr>
        <w:trPr>
          <w:trHeight w:hRule="exact" w:val="752"/>
        </w:trPr>
        <w:tc>
          <w:tcPr>
            <w:tcW w:type="dxa" w:w="297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Multi-agency integration</w:t>
            </w:r>
          </w:p>
        </w:tc>
        <w:tc>
          <w:tcPr>
            <w:tcW w:type="dxa" w:w="42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5 federal agencies (CSIRO, ANSTO, GA,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NMI, ARDC)</w:t>
            </w:r>
          </w:p>
        </w:tc>
        <w:tc>
          <w:tcPr>
            <w:tcW w:type="dxa" w:w="378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 institutional data sources integrated</w:t>
            </w:r>
          </w:p>
        </w:tc>
      </w:tr>
      <w:tr>
        <w:trPr>
          <w:trHeight w:hRule="exact" w:val="480"/>
        </w:trPr>
        <w:tc>
          <w:tcPr>
            <w:tcW w:type="dxa" w:w="2970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National data standardization</w:t>
            </w:r>
          </w:p>
        </w:tc>
        <w:tc>
          <w:tcPr>
            <w:tcW w:type="dxa" w:w="4244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Unified isotope ontology with 250+ terms</w:t>
            </w:r>
          </w:p>
        </w:tc>
        <w:tc>
          <w:tcPr>
            <w:tcW w:type="dxa" w:w="378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97% field mapping success rate</w:t>
            </w:r>
          </w:p>
        </w:tc>
      </w:tr>
      <w:tr>
        <w:trPr>
          <w:trHeight w:hRule="exact" w:val="748"/>
        </w:trPr>
        <w:tc>
          <w:tcPr>
            <w:tcW w:type="dxa" w:w="2970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2" w:after="0"/>
              <w:ind w:left="124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Heterogeneous data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harmonization</w:t>
            </w:r>
          </w:p>
        </w:tc>
        <w:tc>
          <w:tcPr>
            <w:tcW w:type="dxa" w:w="4244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2" w:after="0"/>
              <w:ind w:left="11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Diverse formats, conventions, metadata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structures</w:t>
            </w:r>
          </w:p>
        </w:tc>
        <w:tc>
          <w:tcPr>
            <w:tcW w:type="dxa" w:w="378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 custom adapters + import wizard</w:t>
            </w:r>
          </w:p>
        </w:tc>
      </w:tr>
      <w:tr>
        <w:trPr>
          <w:trHeight w:hRule="exact" w:val="482"/>
        </w:trPr>
        <w:tc>
          <w:tcPr>
            <w:tcW w:type="dxa" w:w="297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FAIR data principles</w:t>
            </w:r>
          </w:p>
        </w:tc>
        <w:tc>
          <w:tcPr>
            <w:tcW w:type="dxa" w:w="42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CoreTrustSeal-aligned infrastructure</w:t>
            </w:r>
          </w:p>
        </w:tc>
        <w:tc>
          <w:tcPr>
            <w:tcW w:type="dxa" w:w="378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LithoSurfer platform certification</w:t>
            </w:r>
          </w:p>
        </w:tc>
      </w:tr>
      <w:tr>
        <w:trPr>
          <w:trHeight w:hRule="exact" w:val="464"/>
        </w:trPr>
        <w:tc>
          <w:tcPr>
            <w:tcW w:type="dxa" w:w="297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API interoperability</w:t>
            </w:r>
          </w:p>
        </w:tc>
        <w:tc>
          <w:tcPr>
            <w:tcW w:type="dxa" w:w="42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RESTful API with Swagger documentation</w:t>
            </w:r>
          </w:p>
        </w:tc>
        <w:tc>
          <w:tcPr>
            <w:tcW w:type="dxa" w:w="378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External system integration capability</w:t>
            </w:r>
          </w:p>
        </w:tc>
      </w:tr>
      <w:tr>
        <w:trPr>
          <w:trHeight w:hRule="exact" w:val="480"/>
        </w:trPr>
        <w:tc>
          <w:tcPr>
            <w:tcW w:type="dxa" w:w="297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Cloud-based deployment</w:t>
            </w:r>
          </w:p>
        </w:tc>
        <w:tc>
          <w:tcPr>
            <w:tcW w:type="dxa" w:w="42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100% AWS-hosted infrastructure</w:t>
            </w:r>
          </w:p>
        </w:tc>
        <w:tc>
          <w:tcPr>
            <w:tcW w:type="dxa" w:w="378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Elastic Beanstalk, RDS, S3</w:t>
            </w:r>
          </w:p>
        </w:tc>
      </w:tr>
      <w:tr>
        <w:trPr>
          <w:trHeight w:hRule="exact" w:val="750"/>
        </w:trPr>
        <w:tc>
          <w:tcPr>
            <w:tcW w:type="dxa" w:w="297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Data governance</w:t>
            </w:r>
          </w:p>
        </w:tc>
        <w:tc>
          <w:tcPr>
            <w:tcW w:type="dxa" w:w="42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Package-based institutional ownership</w:t>
            </w:r>
          </w:p>
        </w:tc>
        <w:tc>
          <w:tcPr>
            <w:tcW w:type="dxa" w:w="378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6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Role-based access control, publishing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workflows</w:t>
            </w:r>
          </w:p>
        </w:tc>
      </w:tr>
      <w:tr>
        <w:trPr>
          <w:trHeight w:hRule="exact" w:val="766"/>
        </w:trPr>
        <w:tc>
          <w:tcPr>
            <w:tcW w:type="dxa" w:w="2970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Quality control</w:t>
            </w:r>
          </w:p>
        </w:tc>
        <w:tc>
          <w:tcPr>
            <w:tcW w:type="dxa" w:w="4244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QA/QC pipelines with validation</w:t>
            </w:r>
          </w:p>
        </w:tc>
        <w:tc>
          <w:tcPr>
            <w:tcW w:type="dxa" w:w="378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6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93-96% import accuracy, &lt;6% rejection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rate</w:t>
            </w:r>
          </w:p>
        </w:tc>
      </w:tr>
    </w:tbl>
    <w:p>
      <w:pPr>
        <w:autoSpaceDN w:val="0"/>
        <w:autoSpaceDE w:val="0"/>
        <w:widowControl/>
        <w:spacing w:line="233" w:lineRule="auto" w:before="276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11. Future Expansion Potential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14"/>
        <w:gridCol w:w="5514"/>
      </w:tblGrid>
      <w:tr>
        <w:trPr>
          <w:trHeight w:hRule="exact" w:val="7344"/>
        </w:trPr>
        <w:tc>
          <w:tcPr>
            <w:tcW w:type="dxa" w:w="21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11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Th</w:t>
            </w:r>
          </w:p>
          <w:p>
            <w:pPr>
              <w:autoSpaceDN w:val="0"/>
              <w:autoSpaceDE w:val="0"/>
              <w:widowControl/>
              <w:spacing w:line="240" w:lineRule="auto" w:before="2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3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11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34" w:lineRule="auto" w:before="384" w:after="0"/>
              <w:ind w:left="2" w:right="44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1F4E78"/>
                <w:sz w:val="26"/>
              </w:rPr>
              <w:t xml:space="preserve">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G</w:t>
            </w:r>
          </w:p>
          <w:p>
            <w:pPr>
              <w:autoSpaceDN w:val="0"/>
              <w:autoSpaceDE w:val="0"/>
              <w:widowControl/>
              <w:spacing w:line="240" w:lineRule="auto" w:before="2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4" w:after="0"/>
              <w:ind w:left="0" w:right="259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11 .1 Scalability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The Isotopes.au architecture supports expansion to additional institutions and data types:</w:t>
            </w:r>
          </w:p>
          <w:p>
            <w:pPr>
              <w:autoSpaceDN w:val="0"/>
              <w:autoSpaceDE w:val="0"/>
              <w:widowControl/>
              <w:spacing w:line="314" w:lineRule="auto" w:before="184" w:after="0"/>
              <w:ind w:left="9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Additional Data Providers: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State government departments, university researchers can be onboarded with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minimal risk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New Data Models: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Platform designed to support model extensions beyond isotopes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Portal Expansion: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Additional portals and websites can be added to serve different user communities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International Integration: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Architecture supports cross-border data federation</w:t>
            </w:r>
          </w:p>
          <w:p>
            <w:pPr>
              <w:autoSpaceDN w:val="0"/>
              <w:autoSpaceDE w:val="0"/>
              <w:widowControl/>
              <w:spacing w:line="326" w:lineRule="auto" w:before="250" w:after="0"/>
              <w:ind w:left="300" w:right="1440" w:hanging="30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11.2 Potential Business Applications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Regulatory Reporting: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Environmental agencies can use platform for compliance reporting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Laboratory Integration: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Direct live upload from analytical laboratories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Cross-Platform Linkage: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Integration with geochemistry and hydrology platforms (e.g., EarthBank)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Commercial Sector: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Mining and environmental consulting firms can contribute/access data</w:t>
            </w:r>
          </w:p>
          <w:p>
            <w:pPr>
              <w:autoSpaceDN w:val="0"/>
              <w:autoSpaceDE w:val="0"/>
              <w:widowControl/>
              <w:spacing w:line="235" w:lineRule="auto" w:before="32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6"/>
              </w:rPr>
              <w:t>1 2. Conclusion</w:t>
            </w:r>
          </w:p>
          <w:p>
            <w:pPr>
              <w:autoSpaceDN w:val="0"/>
              <w:tabs>
                <w:tab w:pos="164" w:val="left"/>
              </w:tabs>
              <w:autoSpaceDE w:val="0"/>
              <w:widowControl/>
              <w:spacing w:line="266" w:lineRule="auto" w:before="264" w:after="0"/>
              <w:ind w:left="0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otopes.au demonstrates Lithodat's proven capability to solve the exact multi-agency data integration challenges that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GDAC-SA faces. The project showcases:</w:t>
            </w:r>
          </w:p>
          <w:p>
            <w:pPr>
              <w:autoSpaceDN w:val="0"/>
              <w:autoSpaceDE w:val="0"/>
              <w:widowControl/>
              <w:spacing w:line="324" w:lineRule="auto" w:before="170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Multi-Agency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Successful collaboration with 5 federal organizations (CSIRO, ANSTO, GA, NMI, ARDC)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Data Harmonization: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Unified national schema across 6 heterogeneous institutional data sources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Technical Excellence: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97% ontology match rate, FAIR compliance, CoreTrustSeal-aligned infrastructure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Flexible Architecture: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Hybrid ingestion model (automated adapters + import wizard)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48" w:right="420" w:bottom="44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514"/>
        <w:gridCol w:w="5514"/>
      </w:tblGrid>
      <w:tr>
        <w:trPr>
          <w:trHeight w:hRule="exact" w:val="100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0" w:after="0"/>
              <w:ind w:left="92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Governance Framework: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Package-based institutional ownership preserving data sovereignty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API-First Design: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RESTful services enabling external system integration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Operational Sustainability: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Ongoing hosting contract (2023-2025), program expansion to 2028</w:t>
            </w:r>
          </w:p>
        </w:tc>
      </w:tr>
    </w:tbl>
    <w:p>
      <w:pPr>
        <w:autoSpaceDN w:val="0"/>
        <w:autoSpaceDE w:val="0"/>
        <w:widowControl/>
        <w:spacing w:line="278" w:lineRule="auto" w:before="300" w:after="0"/>
        <w:ind w:left="288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Direct Relevance to GDAC-SA: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Where GDAC-SA must integrate diverse geological datasets across Saudi survey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departments, Isotopes.au successfully harmonized isotope data across Australian federal agencies with equally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challenging data heterogeneity. The technical approaches (unified ontology, hybrid ingestion, data package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governance, API architecture) are directly transferable to Saudi Geological Survey's national data integration </w:t>
      </w:r>
      <w:r>
        <w:rPr>
          <w:rFonts w:ascii="Arial" w:hAnsi="Arial" w:eastAsia="Arial"/>
          <w:b w:val="0"/>
          <w:i w:val="0"/>
          <w:color w:val="333333"/>
          <w:sz w:val="20"/>
        </w:rPr>
        <w:t>requirements.</w:t>
      </w:r>
    </w:p>
    <w:p>
      <w:pPr>
        <w:autoSpaceDN w:val="0"/>
        <w:autoSpaceDE w:val="0"/>
        <w:widowControl/>
        <w:spacing w:line="233" w:lineRule="auto" w:before="7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For verification of project performance and technical details, contact:</w:t>
      </w:r>
    </w:p>
    <w:p>
      <w:pPr>
        <w:autoSpaceDN w:val="0"/>
        <w:autoSpaceDE w:val="0"/>
        <w:widowControl/>
        <w:spacing w:line="276" w:lineRule="auto" w:before="174" w:after="0"/>
        <w:ind w:left="2" w:right="7344" w:firstLine="0"/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 xml:space="preserve">Dr. Nina Welti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CSIRO – Environmental Isotopes Laboratory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Waite Campus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Email: nina.welti@csiro.au</w:t>
      </w:r>
    </w:p>
    <w:p>
      <w:pPr>
        <w:autoSpaceDN w:val="0"/>
        <w:autoSpaceDE w:val="0"/>
        <w:widowControl/>
        <w:spacing w:line="276" w:lineRule="auto" w:before="548" w:after="0"/>
        <w:ind w:left="2" w:right="7776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Lithodat Pty Ltd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| ABN: 48 647 191 452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Platform: </w:t>
      </w:r>
      <w:r>
        <w:rPr>
          <w:rFonts w:ascii="Arial" w:hAnsi="Arial" w:eastAsia="Arial"/>
          <w:b/>
          <w:i w:val="0"/>
          <w:color w:val="1F4E78"/>
          <w:sz w:val="18"/>
        </w:rPr>
        <w:hyperlink r:id="rId11" w:history="1">
          <w:r>
            <w:rPr>
              <w:rStyle w:val="Hyperlink"/>
            </w:rPr>
            <w:t xml:space="preserve">https://app.isotopes.au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Support: support@lithosurfer.io</w:t>
      </w:r>
    </w:p>
    <w:p>
      <w:pPr>
        <w:autoSpaceDN w:val="0"/>
        <w:autoSpaceDE w:val="0"/>
        <w:widowControl/>
        <w:spacing w:line="276" w:lineRule="auto" w:before="158" w:after="0"/>
        <w:ind w:left="2" w:right="4032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Technical Documentation: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System Documentation (14 January 2024) by Moritz Theile </w:t>
      </w:r>
      <w:r>
        <w:rPr>
          <w:rFonts w:ascii="Arial" w:hAnsi="Arial" w:eastAsia="Arial"/>
          <w:b/>
          <w:i w:val="0"/>
          <w:color w:val="1F4E78"/>
          <w:sz w:val="18"/>
        </w:rPr>
        <w:t>Partners: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CSIRO, Geoscience Australia, ANSTO, NMI, ARDC </w:t>
      </w:r>
      <w:r>
        <w:br/>
      </w:r>
      <w:r>
        <w:rPr>
          <w:rFonts w:ascii="Arial" w:hAnsi="Arial" w:eastAsia="Arial"/>
          <w:b/>
          <w:i w:val="0"/>
          <w:color w:val="1F4E78"/>
          <w:sz w:val="18"/>
        </w:rPr>
        <w:t>Funding: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Australian Research Data Commons (ARDC)</w:t>
      </w:r>
    </w:p>
    <w:sectPr w:rsidR="00FC693F" w:rsidRPr="0006063C" w:rsidSect="00034616">
      <w:pgSz w:w="11899" w:h="16838"/>
      <w:pgMar w:top="348" w:right="420" w:bottom="1440" w:left="4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pp.isotopes.au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metabase.lithosurfer.io/public/dashboard/0793edf0-9675-41e5-b338-7d0668e1f384?tab=1-per-day" TargetMode="External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