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509"/>
        <w:gridCol w:w="4509"/>
      </w:tblGrid>
      <w:tr>
        <w:trPr>
          <w:trHeight w:hRule="exact" w:val="2226"/>
        </w:trPr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232" w:right="201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48"/>
              </w:rPr>
              <w:t xml:space="preserve">APPENDIX I: NRCan CATCH </w:t>
            </w:r>
            <w:r>
              <w:rPr>
                <w:rFonts w:ascii="Arial" w:hAnsi="Arial" w:eastAsia="Arial"/>
                <w:b/>
                <w:i w:val="0"/>
                <w:color w:val="ABABAB"/>
                <w:sz w:val="48"/>
              </w:rPr>
              <w:t>Database</w:t>
            </w:r>
          </w:p>
          <w:p>
            <w:pPr>
              <w:autoSpaceDN w:val="0"/>
              <w:autoSpaceDE w:val="0"/>
              <w:widowControl/>
              <w:spacing w:line="262" w:lineRule="auto" w:before="188" w:after="0"/>
              <w:ind w:left="23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ABABAB"/>
                <w:sz w:val="26"/>
              </w:rPr>
              <w:t xml:space="preserve">Canadian ThermoCHronology Database – National Geological Data </w:t>
            </w:r>
            <w:r>
              <w:rPr>
                <w:rFonts w:ascii="Arial" w:hAnsi="Arial" w:eastAsia="Arial"/>
                <w:b w:val="0"/>
                <w:i w:val="0"/>
                <w:color w:val="ABABAB"/>
                <w:sz w:val="26"/>
              </w:rPr>
              <w:t>Integration Platform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4" w:after="0"/>
              <w:ind w:left="0" w:right="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2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2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52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0"/>
        </w:rPr>
        <w:t>GDAC-SA Advanced Analytics Platform RFQ | Lithodat Pty Ltd</w:t>
      </w:r>
    </w:p>
    <w:p>
      <w:pPr>
        <w:autoSpaceDN w:val="0"/>
        <w:autoSpaceDE w:val="0"/>
        <w:widowControl/>
        <w:spacing w:line="281" w:lineRule="auto" w:before="916" w:after="0"/>
        <w:ind w:left="738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Project Overview: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The Canadian ThermoCHronology (CATCH) database is Natural Resources Canada's (NRCan)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national platform for integrating low-temperature thermochronology data across Canada. Developed by Lithodat in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partnership with the Geological Survey of Canada (GSC), CATCH demonstrates advanced capability in multi-decade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data curation, legacy data digitization, FAIR-compliant repository construction, and national-scale geoscientific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database architecture—directly applicable to GDAC-SA's requirements for integrating historical and modern geological </w:t>
      </w:r>
      <w:r>
        <w:rPr>
          <w:rFonts w:ascii="Arial" w:hAnsi="Arial" w:eastAsia="Arial"/>
          <w:b w:val="0"/>
          <w:i w:val="0"/>
          <w:color w:val="333333"/>
          <w:sz w:val="20"/>
        </w:rPr>
        <w:t>datasets.</w:t>
      </w:r>
    </w:p>
    <w:p>
      <w:pPr>
        <w:autoSpaceDN w:val="0"/>
        <w:autoSpaceDE w:val="0"/>
        <w:widowControl/>
        <w:spacing w:line="233" w:lineRule="auto" w:before="53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About the CATCH Database</w:t>
      </w:r>
    </w:p>
    <w:p>
      <w:pPr>
        <w:autoSpaceDN w:val="0"/>
        <w:autoSpaceDE w:val="0"/>
        <w:widowControl/>
        <w:spacing w:line="271" w:lineRule="auto" w:before="264" w:after="0"/>
        <w:ind w:left="452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Official Publication: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Natural Resources Canada's Geological Survey of Canada published </w:t>
      </w:r>
      <w:r>
        <w:rPr>
          <w:rFonts w:ascii="Arial" w:hAnsi="Arial" w:eastAsia="Arial"/>
          <w:b/>
          <w:i w:val="0"/>
          <w:color w:val="1F4E78"/>
          <w:sz w:val="21"/>
        </w:rPr>
        <w:t>Open File 9225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 </w:t>
      </w:r>
      <w:r>
        <w:rPr>
          <w:rFonts w:ascii="Arial" w:hAnsi="Arial" w:eastAsia="Arial"/>
          <w:b/>
          <w:i w:val="0"/>
          <w:color w:val="1F4E78"/>
          <w:sz w:val="21"/>
        </w:rPr>
        <w:t>2025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marking the first comprehensive compilation of low-temperature thermochronology (LTT) data for northern Canada </w:t>
      </w:r>
      <w:r>
        <w:rPr>
          <w:rFonts w:ascii="Arial" w:hAnsi="Arial" w:eastAsia="Arial"/>
          <w:b w:val="0"/>
          <w:i w:val="0"/>
          <w:color w:val="333333"/>
          <w:sz w:val="21"/>
        </w:rPr>
        <w:t>and the foundation of the CATCH database initiative.</w:t>
      </w:r>
    </w:p>
    <w:p>
      <w:pPr>
        <w:autoSpaceDN w:val="0"/>
        <w:autoSpaceDE w:val="0"/>
        <w:widowControl/>
        <w:spacing w:line="259" w:lineRule="auto" w:before="186" w:after="0"/>
        <w:ind w:left="452" w:right="72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Authors: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J.W. Powell (GSC), D.A. Kellett (GSC), </w:t>
      </w:r>
      <w:r>
        <w:rPr>
          <w:rFonts w:ascii="Arial" w:hAnsi="Arial" w:eastAsia="Arial"/>
          <w:b/>
          <w:i w:val="0"/>
          <w:color w:val="1F4E78"/>
          <w:sz w:val="21"/>
        </w:rPr>
        <w:t>F. Kohlmann (Lithodat)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, and M. McMillan (Lithodat/University of </w:t>
      </w:r>
      <w:r>
        <w:rPr>
          <w:rFonts w:ascii="Arial" w:hAnsi="Arial" w:eastAsia="Arial"/>
          <w:b w:val="0"/>
          <w:i w:val="0"/>
          <w:color w:val="333333"/>
          <w:sz w:val="21"/>
        </w:rPr>
        <w:t>Melbourne)</w:t>
      </w:r>
    </w:p>
    <w:p>
      <w:pPr>
        <w:autoSpaceDN w:val="0"/>
        <w:autoSpaceDE w:val="0"/>
        <w:widowControl/>
        <w:spacing w:line="278" w:lineRule="auto" w:before="184" w:after="110"/>
        <w:ind w:left="452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What is Low-Temperature Thermochronology?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Low-temperature thermochronometers, such as fission track and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(U-Th)/He systems, are radiometric dating methods sensitive to low (&lt;~300°C) temperature regimes characteristic of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relatively shallow depths in Earth's crust. LTT provides temporal constraints on a range of important upper crustal </w:t>
      </w:r>
      <w:r>
        <w:rPr>
          <w:rFonts w:ascii="Arial" w:hAnsi="Arial" w:eastAsia="Arial"/>
          <w:b w:val="0"/>
          <w:i w:val="0"/>
          <w:color w:val="333333"/>
          <w:sz w:val="21"/>
        </w:rPr>
        <w:t>geological processes, including: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2126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60" w:after="0"/>
              <w:ind w:left="92" w:right="216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Tectonic exhumation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– Unroofing and uplift of mountain belts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Climatic exhumation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– Erosion driven by glacial and fluvial processes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Brittle deformation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– Faulting and fracturing events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Sedimentary burial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– Basin subsidence and thermal maturation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Hydrothermal fluid circulation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– Mineral deposit formation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Crustal heat flow changes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– Geothermal evolution over time</w:t>
            </w:r>
          </w:p>
        </w:tc>
      </w:tr>
    </w:tbl>
    <w:p>
      <w:pPr>
        <w:autoSpaceDN w:val="0"/>
        <w:autoSpaceDE w:val="0"/>
        <w:widowControl/>
        <w:spacing w:line="259" w:lineRule="auto" w:before="124" w:after="0"/>
        <w:ind w:left="45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The unique ability of LTT to unravel the thermal history of rocks renders these methods invaluable for assessing the </w:t>
      </w:r>
      <w:r>
        <w:rPr>
          <w:rFonts w:ascii="Arial" w:hAnsi="Arial" w:eastAsia="Arial"/>
          <w:b w:val="0"/>
          <w:i w:val="0"/>
          <w:color w:val="333333"/>
          <w:sz w:val="21"/>
        </w:rPr>
        <w:t>geodynamic and surficial processes that have impacted Canada's bedrock throughout geologic time.</w:t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546100</wp:posOffset>
            </wp:positionV>
            <wp:extent cx="6756400" cy="3975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397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</wp:posOffset>
            </wp:positionH>
            <wp:positionV relativeFrom="page">
              <wp:posOffset>514350</wp:posOffset>
            </wp:positionV>
            <wp:extent cx="6821169" cy="403110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21169" cy="403110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9019"/>
      </w:tblGrid>
      <w:tr>
        <w:trPr>
          <w:trHeight w:hRule="exact" w:val="6598"/>
        </w:trPr>
        <w:tc>
          <w:tcPr>
            <w:tcW w:type="dxa" w:w="10996"/>
            <w:tcBorders>
              <w:start w:sz="12.0" w:val="single" w:color="#DDDDDD"/>
              <w:top w:sz="12.0" w:val="single" w:color="#DDDDDD"/>
              <w:end w:sz="12.0" w:val="single" w:color="#DDDDDD"/>
              <w:bottom w:sz="12.0" w:val="single" w:color="#DDDDD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9" w:lineRule="auto" w:before="190" w:after="208"/>
        <w:ind w:left="432" w:right="432" w:firstLine="0"/>
        <w:jc w:val="center"/>
      </w:pPr>
      <w:r>
        <w:rPr>
          <w:rFonts w:ascii="Arial" w:hAnsi="Arial" w:eastAsia="Arial"/>
          <w:b w:val="0"/>
          <w:i/>
          <w:color w:val="666666"/>
          <w:sz w:val="18"/>
        </w:rPr>
        <w:t xml:space="preserve">Locations of samples with LTT data in northern Canada. All published data are included in this report. Note: data from Alaska, Greenland </w:t>
      </w:r>
      <w:r>
        <w:rPr>
          <w:rFonts w:ascii="Arial" w:hAnsi="Arial" w:eastAsia="Arial"/>
          <w:b w:val="0"/>
          <w:i/>
          <w:color w:val="666666"/>
          <w:sz w:val="18"/>
        </w:rPr>
        <w:t xml:space="preserve">and southern Canada were also extracted if included in the same publications as northern Canada LTT data. (Source: GSC Open File </w:t>
      </w:r>
      <w:r>
        <w:rPr>
          <w:rFonts w:ascii="Arial" w:hAnsi="Arial" w:eastAsia="Arial"/>
          <w:b w:val="0"/>
          <w:i/>
          <w:color w:val="666666"/>
          <w:sz w:val="18"/>
        </w:rPr>
        <w:t>9225)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6"/>
        <w:gridCol w:w="3006"/>
        <w:gridCol w:w="3006"/>
      </w:tblGrid>
      <w:tr>
        <w:trPr>
          <w:trHeight w:hRule="exact" w:val="1276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7.99999999999997" w:type="dxa"/>
            </w:tblPr>
            <w:tblGrid>
              <w:gridCol w:w="3860"/>
            </w:tblGrid>
            <w:tr>
              <w:trPr>
                <w:trHeight w:hRule="exact" w:val="1104"/>
              </w:trPr>
              <w:tc>
                <w:tcPr>
                  <w:tcW w:type="dxa" w:w="3540"/>
                  <w:tcBorders>
                    <w:start w:sz="12.0" w:val="single" w:color="#DDDDDD"/>
                    <w:top w:sz="12.0" w:val="single" w:color="#DDDDDD"/>
                    <w:end w:sz="12.0" w:val="single" w:color="#DDDDDD"/>
                    <w:bottom w:sz="12.0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2" w:after="0"/>
                    <w:ind w:left="1008" w:right="1008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F4E78"/>
                      <w:sz w:val="36"/>
                    </w:rPr>
                    <w:t xml:space="preserve">1,427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666666"/>
                      <w:sz w:val="18"/>
                    </w:rPr>
                    <w:t>Unique Samples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3720"/>
            </w:tblGrid>
            <w:tr>
              <w:trPr>
                <w:trHeight w:hRule="exact" w:val="1104"/>
              </w:trPr>
              <w:tc>
                <w:tcPr>
                  <w:tcW w:type="dxa" w:w="3526"/>
                  <w:tcBorders>
                    <w:start w:sz="12.0" w:val="single" w:color="#DDDDDD"/>
                    <w:top w:sz="12.0" w:val="single" w:color="#DDDDDD"/>
                    <w:end w:sz="12.0" w:val="single" w:color="#DDDDDD"/>
                    <w:bottom w:sz="12.0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2" w:after="0"/>
                    <w:ind w:left="576" w:right="576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F4E78"/>
                      <w:sz w:val="36"/>
                    </w:rPr>
                    <w:t xml:space="preserve">50+ Years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666666"/>
                      <w:sz w:val="18"/>
                    </w:rPr>
                    <w:t>Data Coverage (1970-2021)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45" w:type="dxa"/>
            </w:tblPr>
            <w:tblGrid>
              <w:gridCol w:w="3880"/>
            </w:tblGrid>
            <w:tr>
              <w:trPr>
                <w:trHeight w:hRule="exact" w:val="1104"/>
              </w:trPr>
              <w:tc>
                <w:tcPr>
                  <w:tcW w:type="dxa" w:w="3542"/>
                  <w:tcBorders>
                    <w:start w:sz="12.0" w:val="single" w:color="#DDDDDD"/>
                    <w:top w:sz="12.0" w:val="single" w:color="#DDDDDD"/>
                    <w:end w:sz="12.0" w:val="single" w:color="#DDDDDD"/>
                    <w:bottom w:sz="12.0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2" w:after="0"/>
                    <w:ind w:left="1152" w:right="1152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F4E78"/>
                      <w:sz w:val="36"/>
                    </w:rPr>
                    <w:t xml:space="preserve">91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666666"/>
                      <w:sz w:val="18"/>
                    </w:rPr>
                    <w:t>Data Sources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auto" w:before="306" w:after="0"/>
        <w:ind w:left="738" w:right="1152" w:firstLine="0"/>
        <w:jc w:val="left"/>
      </w:pPr>
      <w:r>
        <w:rPr>
          <w:rFonts w:ascii="Arial" w:hAnsi="Arial" w:eastAsia="Arial"/>
          <w:b/>
          <w:i w:val="0"/>
          <w:color w:val="10B981"/>
          <w:sz w:val="20"/>
        </w:rPr>
        <w:t>Data Accessibility: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CATCH compilation data will be publicly accessible via Lithodat's open-access AusGeochem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platform at </w:t>
      </w:r>
      <w:r>
        <w:rPr>
          <w:rFonts w:ascii="Arial" w:hAnsi="Arial" w:eastAsia="Arial"/>
          <w:b/>
          <w:i w:val="0"/>
          <w:color w:val="10B981"/>
          <w:sz w:val="20"/>
        </w:rPr>
        <w:hyperlink r:id="rId13" w:history="1">
          <w:r>
            <w:rPr>
              <w:rStyle w:val="Hyperlink"/>
            </w:rPr>
            <w:t>https://ausgeochem.auscope.org.au</w:t>
          </w:r>
        </w:hyperlink>
      </w:r>
    </w:p>
    <w:p>
      <w:pPr>
        <w:autoSpaceDN w:val="0"/>
        <w:autoSpaceDE w:val="0"/>
        <w:widowControl/>
        <w:spacing w:line="233" w:lineRule="auto" w:before="788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1. Executive Summary</w:t>
      </w:r>
    </w:p>
    <w:p>
      <w:pPr>
        <w:autoSpaceDN w:val="0"/>
        <w:autoSpaceDE w:val="0"/>
        <w:widowControl/>
        <w:spacing w:line="233" w:lineRule="auto" w:before="33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1.1 What is the CATCH Database?</w:t>
      </w:r>
    </w:p>
    <w:p>
      <w:pPr>
        <w:autoSpaceDN w:val="0"/>
        <w:autoSpaceDE w:val="0"/>
        <w:widowControl/>
        <w:spacing w:line="276" w:lineRule="auto" w:before="108" w:after="0"/>
        <w:ind w:left="452" w:right="86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The Canadian ThermoCHronology (CATCH) database is a comprehensive national repository for low-temperature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thermochronology data from across Canada. The database integrates </w:t>
      </w:r>
      <w:r>
        <w:rPr>
          <w:rFonts w:ascii="Arial" w:hAnsi="Arial" w:eastAsia="Arial"/>
          <w:b/>
          <w:i w:val="0"/>
          <w:color w:val="1F4E78"/>
          <w:sz w:val="21"/>
        </w:rPr>
        <w:t>996 fission track datapoints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and </w:t>
      </w:r>
      <w:r>
        <w:rPr>
          <w:rFonts w:ascii="Arial" w:hAnsi="Arial" w:eastAsia="Arial"/>
          <w:b/>
          <w:i w:val="0"/>
          <w:color w:val="1F4E78"/>
          <w:sz w:val="21"/>
        </w:rPr>
        <w:t>762 (U-</w:t>
      </w:r>
      <w:r>
        <w:rPr>
          <w:rFonts w:ascii="Arial" w:hAnsi="Arial" w:eastAsia="Arial"/>
          <w:b/>
          <w:i w:val="0"/>
          <w:color w:val="1F4E78"/>
          <w:sz w:val="21"/>
        </w:rPr>
        <w:t>Th)/He datapoints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from 1,427 unique samples, further divided into: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7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16,277 single grain fission track measurements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27,848 fission track length measurements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3,230 aliquots of (U-Th)/He data</w:t>
      </w:r>
    </w:p>
    <w:p>
      <w:pPr>
        <w:autoSpaceDN w:val="0"/>
        <w:autoSpaceDE w:val="0"/>
        <w:widowControl/>
        <w:spacing w:line="271" w:lineRule="auto" w:before="184" w:after="0"/>
        <w:ind w:left="45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The project represents a multi-year collaboration between Lithodat Pty Ltd and Canada's Geological Survey (Natural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Resources Canada), involving extensive data mining, legacy data digitization, quality control, and standardization </w:t>
      </w:r>
      <w:r>
        <w:rPr>
          <w:rFonts w:ascii="Arial" w:hAnsi="Arial" w:eastAsia="Arial"/>
          <w:b w:val="0"/>
          <w:i w:val="0"/>
          <w:color w:val="333333"/>
          <w:sz w:val="21"/>
        </w:rPr>
        <w:t>across 91 different data sources spanning five decades (1970-2021).</w:t>
      </w:r>
    </w:p>
    <w:p>
      <w:pPr>
        <w:autoSpaceDN w:val="0"/>
        <w:autoSpaceDE w:val="0"/>
        <w:widowControl/>
        <w:spacing w:line="233" w:lineRule="auto" w:before="25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1.2 Relevance to GDAC-SA Project</w:t>
      </w:r>
    </w:p>
    <w:p>
      <w:pPr>
        <w:sectPr>
          <w:pgSz w:w="11899" w:h="16838"/>
          <w:pgMar w:top="334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The CATCH database demonstrates Lithodat's proven capability to address GDAC-SA's core challenges in national </w:t>
      </w:r>
      <w:r>
        <w:rPr>
          <w:rFonts w:ascii="Arial" w:hAnsi="Arial" w:eastAsia="Arial"/>
          <w:b w:val="0"/>
          <w:i w:val="0"/>
          <w:color w:val="333333"/>
          <w:sz w:val="21"/>
        </w:rPr>
        <w:t>geological data integration: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Multi-Decade Data Integration: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Successfully compiled and harmonized data from 50+ years of publications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(1970-2021), including digital and analogue sources—directly analogous to GDAC's challenge of integrating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historical and modern Saudi geological survey data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Legacy Data Digitization: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Developed systematic approaches to extract data from paper reports, non-vectorized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PDFs, and published figures (e.g., digitizing histograms, georeferencing sample locations)—critical for GDAC's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historical data integration requirements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Complex Metadata Management: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Captured comprehensive analytical metadata including sample coordinates,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rock types, stratigraphic units, analytical methods, kinetic parameters, and quality control metrics—demonstrating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expertise in geoscientific metadata frameworks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FAIR Data Principles: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Designed database structure to be Findable, Accessible, Interoperable, and Reusable, with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open-access delivery via AusGeochem platform—aligning with GDAC's open science mandate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National-Scale Geoscientific Infrastructure: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Created standardized templates and workflows for ongoing data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submission by Canadian researchers—providing blueprint for GDAC's data ingestion framework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Government Partnership Excellence: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Multi-year collaboration with Natural Resources Canada (federal agency)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demonstrates capability to deliver mission-critical infrastructure for national geological surveys</w:t>
      </w:r>
    </w:p>
    <w:p>
      <w:pPr>
        <w:autoSpaceDN w:val="0"/>
        <w:autoSpaceDE w:val="0"/>
        <w:widowControl/>
        <w:spacing w:line="281" w:lineRule="auto" w:before="344" w:after="0"/>
        <w:ind w:left="288" w:right="144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Critical GDAC-SA Alignment: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The CATCH database solves the exact multi-decade data integration problem that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GDAC-SA faces. Where GDAC must digitize and integrate 50+ years of Saudi geological survey data with inconsistent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formats, CATCH successfully harmonized Canadian thermochronology data spanning the same timeframe with equally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diverse data structures. The data extraction methodologies, quality control frameworks, and database architectures </w:t>
      </w:r>
      <w:r>
        <w:rPr>
          <w:rFonts w:ascii="Arial" w:hAnsi="Arial" w:eastAsia="Arial"/>
          <w:b w:val="0"/>
          <w:i w:val="0"/>
          <w:color w:val="333333"/>
          <w:sz w:val="20"/>
        </w:rPr>
        <w:t>are directly transferable to the Saudi context.</w:t>
      </w:r>
    </w:p>
    <w:p>
      <w:pPr>
        <w:autoSpaceDN w:val="0"/>
        <w:autoSpaceDE w:val="0"/>
        <w:widowControl/>
        <w:spacing w:line="233" w:lineRule="auto" w:before="5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2. Data Extraction and Curation Methodology</w:t>
      </w:r>
    </w:p>
    <w:p>
      <w:pPr>
        <w:autoSpaceDN w:val="0"/>
        <w:autoSpaceDE w:val="0"/>
        <w:widowControl/>
        <w:spacing w:line="233" w:lineRule="auto" w:before="34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2.1 Multi-Source Data Integration</w:t>
      </w:r>
    </w:p>
    <w:p>
      <w:pPr>
        <w:autoSpaceDN w:val="0"/>
        <w:autoSpaceDE w:val="0"/>
        <w:widowControl/>
        <w:spacing w:line="266" w:lineRule="auto" w:before="108" w:after="15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Data extraction involved extensive data mining of all LTT data and associated metadata for northern Canada from 91 </w:t>
      </w:r>
      <w:r>
        <w:rPr>
          <w:rFonts w:ascii="Arial" w:hAnsi="Arial" w:eastAsia="Arial"/>
          <w:b w:val="0"/>
          <w:i w:val="0"/>
          <w:color w:val="333333"/>
          <w:sz w:val="21"/>
        </w:rPr>
        <w:t>different data sources. The project required specialized approaches for different data formats: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80"/>
        </w:trPr>
        <w:tc>
          <w:tcPr>
            <w:tcW w:type="dxa" w:w="2910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Data Format</w:t>
            </w:r>
          </w:p>
        </w:tc>
        <w:tc>
          <w:tcPr>
            <w:tcW w:type="dxa" w:w="4424"/>
            <w:tcBorders>
              <w:start w:sz="6.400000000000091" w:val="single" w:color="#DDDDDD"/>
              <w:top w:sz="6.400000000000091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Extraction Method</w:t>
            </w:r>
          </w:p>
        </w:tc>
        <w:tc>
          <w:tcPr>
            <w:tcW w:type="dxa" w:w="366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Quality Control</w:t>
            </w:r>
          </w:p>
        </w:tc>
      </w:tr>
      <w:tr>
        <w:trPr>
          <w:trHeight w:hRule="exact" w:val="750"/>
        </w:trPr>
        <w:tc>
          <w:tcPr>
            <w:tcW w:type="dxa" w:w="2910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Modern Digital Publications</w:t>
            </w:r>
          </w:p>
        </w:tc>
        <w:tc>
          <w:tcPr>
            <w:tcW w:type="dxa" w:w="442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Direct extraction from digital tables (copy/paste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to Excel)</w:t>
            </w:r>
          </w:p>
        </w:tc>
        <w:tc>
          <w:tcPr>
            <w:tcW w:type="dxa" w:w="36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Row-by-row validation against source</w:t>
            </w:r>
          </w:p>
        </w:tc>
      </w:tr>
      <w:tr>
        <w:trPr>
          <w:trHeight w:hRule="exact" w:val="480"/>
        </w:trPr>
        <w:tc>
          <w:tcPr>
            <w:tcW w:type="dxa" w:w="2910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Analogue Paper Reports</w:t>
            </w:r>
          </w:p>
        </w:tc>
        <w:tc>
          <w:tcPr>
            <w:tcW w:type="dxa" w:w="442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Manual data entry from physical documents</w:t>
            </w:r>
          </w:p>
        </w:tc>
        <w:tc>
          <w:tcPr>
            <w:tcW w:type="dxa" w:w="36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Double-entry verification</w:t>
            </w:r>
          </w:p>
        </w:tc>
      </w:tr>
      <w:tr>
        <w:trPr>
          <w:trHeight w:hRule="exact" w:val="480"/>
        </w:trPr>
        <w:tc>
          <w:tcPr>
            <w:tcW w:type="dxa" w:w="2910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Non-Vectorized PDFs</w:t>
            </w:r>
          </w:p>
        </w:tc>
        <w:tc>
          <w:tcPr>
            <w:tcW w:type="dxa" w:w="442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OCR extraction with manual correction</w:t>
            </w:r>
          </w:p>
        </w:tc>
        <w:tc>
          <w:tcPr>
            <w:tcW w:type="dxa" w:w="36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Character-by-character validation</w:t>
            </w:r>
          </w:p>
        </w:tc>
      </w:tr>
      <w:tr>
        <w:trPr>
          <w:trHeight w:hRule="exact" w:val="750"/>
        </w:trPr>
        <w:tc>
          <w:tcPr>
            <w:tcW w:type="dxa" w:w="2910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24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 xml:space="preserve">Published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Figures/Histograms</w:t>
            </w:r>
          </w:p>
        </w:tc>
        <w:tc>
          <w:tcPr>
            <w:tcW w:type="dxa" w:w="442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Digital extraction using image analysis tools</w:t>
            </w:r>
          </w:p>
        </w:tc>
        <w:tc>
          <w:tcPr>
            <w:tcW w:type="dxa" w:w="36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16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Statistical comparison to published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summaries</w:t>
            </w:r>
          </w:p>
        </w:tc>
      </w:tr>
      <w:tr>
        <w:trPr>
          <w:trHeight w:hRule="exact" w:val="480"/>
        </w:trPr>
        <w:tc>
          <w:tcPr>
            <w:tcW w:type="dxa" w:w="2910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Maps Without Coordinates</w:t>
            </w:r>
          </w:p>
        </w:tc>
        <w:tc>
          <w:tcPr>
            <w:tcW w:type="dxa" w:w="442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Georeferencing using GIS software</w:t>
            </w:r>
          </w:p>
        </w:tc>
        <w:tc>
          <w:tcPr>
            <w:tcW w:type="dxa" w:w="36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Cross-validation with regional geology</w:t>
            </w:r>
          </w:p>
        </w:tc>
      </w:tr>
    </w:tbl>
    <w:p>
      <w:pPr>
        <w:autoSpaceDN w:val="0"/>
        <w:autoSpaceDE w:val="0"/>
        <w:widowControl/>
        <w:spacing w:line="233" w:lineRule="auto" w:before="20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2.2 Comprehensive Metadata Capture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At the sample level, CATCH captures extensive metadata to enable reuse and reinterpretation of historical data: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Sample Metadata: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Name, coordinates, location name/description, location type, sampling method, rock type,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stratigraphic unit, elevation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Analytical Metadata: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Laboratory, analyst, analytical method, measurement date, equipment used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Kinetic Parameters: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Dpar, chlorine content, radiation damage, etching conditions—essential for thermal history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modeling</w:t>
      </w:r>
    </w:p>
    <w:p>
      <w:pPr>
        <w:sectPr>
          <w:pgSz w:w="11899" w:h="16838"/>
          <w:pgMar w:top="348" w:right="420" w:bottom="478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Provenance Metadata: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Funding sources, chief investigator, publication reference, digital object identifier (DOI)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Quality Metrics: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Number of grains analyzed, track counts, uncertainties, quality flags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2.3 Georeferencing and Spatial Integration</w:t>
      </w:r>
    </w:p>
    <w:p>
      <w:pPr>
        <w:autoSpaceDN w:val="0"/>
        <w:autoSpaceDE w:val="0"/>
        <w:widowControl/>
        <w:spacing w:line="235" w:lineRule="auto" w:before="12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For publications where sample coordinates were not provided, locations were determined via systematic</w:t>
      </w:r>
    </w:p>
    <w:p>
      <w:pPr>
        <w:autoSpaceDN w:val="0"/>
        <w:autoSpaceDE w:val="0"/>
        <w:widowControl/>
        <w:spacing w:line="233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georeferencing of geologic maps. This process involved: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Digital extraction of geologic maps from publications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Georeferencing maps using GIS software (QGIS, ArcGIS)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Digitizing sample locations from georeferenced maps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Cross-validation with regional geological frameworks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Assignment of confidence levels to georeferenced coordinates</w:t>
      </w:r>
    </w:p>
    <w:p>
      <w:pPr>
        <w:autoSpaceDN w:val="0"/>
        <w:autoSpaceDE w:val="0"/>
        <w:widowControl/>
        <w:spacing w:line="235" w:lineRule="auto" w:before="3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3. Database Architecture and Data Model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3.1 Thermochronology-Specific Data Structure</w:t>
      </w:r>
    </w:p>
    <w:p>
      <w:pPr>
        <w:autoSpaceDN w:val="0"/>
        <w:autoSpaceDE w:val="0"/>
        <w:widowControl/>
        <w:spacing w:line="235" w:lineRule="auto" w:before="122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CATCH database employs a purpose-built data structure tailored to low-temperature thermochronology</w:t>
      </w:r>
    </w:p>
    <w:p>
      <w:pPr>
        <w:autoSpaceDN w:val="0"/>
        <w:autoSpaceDE w:val="0"/>
        <w:widowControl/>
        <w:spacing w:line="233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requirements. The data model accounts for different thermochronometers, various analytical generations, and</w:t>
      </w:r>
    </w:p>
    <w:p>
      <w:pPr>
        <w:autoSpaceDN w:val="0"/>
        <w:autoSpaceDE w:val="0"/>
        <w:widowControl/>
        <w:spacing w:line="233" w:lineRule="auto" w:before="6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corresponding metadata:</w:t>
      </w:r>
    </w:p>
    <w:p>
      <w:pPr>
        <w:autoSpaceDN w:val="0"/>
        <w:autoSpaceDE w:val="0"/>
        <w:widowControl/>
        <w:spacing w:line="235" w:lineRule="auto" w:before="1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Fission Track Data Structure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FT Datapoints: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Bulk fission track data for all samples (central ages, pooled ages, summary statistics)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FT Count Data: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Fission track counting statistics (spontaneous tracks, induced tracks, uranium concentrations)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FT Single Grain: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Individual grain ages and kinetic parameters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FT Length Data: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Individual fission track length measurements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FT Binned Length Data: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Length distributions digitized from published histograms</w:t>
      </w:r>
    </w:p>
    <w:p>
      <w:pPr>
        <w:autoSpaceDN w:val="0"/>
        <w:autoSpaceDE w:val="0"/>
        <w:widowControl/>
        <w:spacing w:line="235" w:lineRule="auto" w:before="1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(U-Th)/He Data Structure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He Datapoints: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Summary data for all samples (mean ages, weighted mean ages)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He Whole Grain: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Detailed aliquot data (single grain or multi-grain analyses)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He Kinetic Parameters: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Effective uranium (eU), grain dimensions, alpha ejection corrections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3.2 Modern Data Reporting Standards</w:t>
      </w:r>
    </w:p>
    <w:p>
      <w:pPr>
        <w:autoSpaceDN w:val="0"/>
        <w:autoSpaceDE w:val="0"/>
        <w:widowControl/>
        <w:spacing w:line="233" w:lineRule="auto" w:before="124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CATCH database structure adheres to international thermochronology community guidelines for data reporting: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Fission Track: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Aligned with Kohn et al. (2024) community standards for fission track data reporting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(U-Th)/He: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Follows Flowers et al. (2023a, b) guidelines for (U-Th)/He chronology data and uncertainty reporting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Extensibility: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Database structure designed to accommodate future analytical methods and evolving reporting</w:t>
      </w:r>
    </w:p>
    <w:p>
      <w:pPr>
        <w:autoSpaceDN w:val="0"/>
        <w:autoSpaceDE w:val="0"/>
        <w:widowControl/>
        <w:spacing w:line="233" w:lineRule="auto" w:before="50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standards</w:t>
      </w:r>
    </w:p>
    <w:p>
      <w:pPr>
        <w:autoSpaceDN w:val="0"/>
        <w:autoSpaceDE w:val="0"/>
        <w:widowControl/>
        <w:spacing w:line="233" w:lineRule="auto" w:before="2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3.3 Data Reusability Framework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 critical design principle of CATCH is enabling functional reuse of historical data through modern analytical lenses.</w:t>
      </w:r>
    </w:p>
    <w:p>
      <w:pPr>
        <w:autoSpaceDN w:val="0"/>
        <w:autoSpaceDE w:val="0"/>
        <w:widowControl/>
        <w:spacing w:line="233" w:lineRule="auto" w:before="6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This is essential because: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Evolving Kinetic Models: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Laboratory-defined models for thermal diffusion and annealing are routinely updated</w:t>
      </w:r>
    </w:p>
    <w:p>
      <w:pPr>
        <w:autoSpaceDN w:val="0"/>
        <w:autoSpaceDE w:val="0"/>
        <w:widowControl/>
        <w:spacing w:line="235" w:lineRule="auto" w:before="50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and improved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New Modeling Software: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Advanced codes for numerical thermal history modeling are continually published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Big Data Approaches: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Modern methods derive regional geologic histories from large LTT datasets requiring</w:t>
      </w:r>
    </w:p>
    <w:p>
      <w:pPr>
        <w:autoSpaceDN w:val="0"/>
        <w:autoSpaceDE w:val="0"/>
        <w:widowControl/>
        <w:spacing w:line="233" w:lineRule="auto" w:before="66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comprehensive metadata</w:t>
      </w:r>
    </w:p>
    <w:p>
      <w:pPr>
        <w:autoSpaceDN w:val="0"/>
        <w:autoSpaceDE w:val="0"/>
        <w:widowControl/>
        <w:spacing w:line="233" w:lineRule="auto" w:before="18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By capturing comprehensive analytical metadata, CATCH ensures that a single apatite fission track age from a 1970s</w:t>
      </w:r>
    </w:p>
    <w:p>
      <w:pPr>
        <w:autoSpaceDN w:val="0"/>
        <w:autoSpaceDE w:val="0"/>
        <w:widowControl/>
        <w:spacing w:line="235" w:lineRule="auto" w:before="50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publication (with minimal reported metadata) can be reanalyzed using modern kinetic models alongside contemporary</w:t>
      </w:r>
    </w:p>
    <w:p>
      <w:pPr>
        <w:sectPr>
          <w:pgSz w:w="11899" w:h="16838"/>
          <w:pgMar w:top="348" w:right="420" w:bottom="50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5" w:lineRule="auto" w:before="18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samples with &gt;3000 unique data entries per sample.</w:t>
      </w:r>
    </w:p>
    <w:p>
      <w:pPr>
        <w:autoSpaceDN w:val="0"/>
        <w:autoSpaceDE w:val="0"/>
        <w:widowControl/>
        <w:spacing w:line="233" w:lineRule="auto" w:before="32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4. Data Coverage and Scientific Impact</w:t>
      </w:r>
    </w:p>
    <w:p>
      <w:pPr>
        <w:autoSpaceDN w:val="0"/>
        <w:autoSpaceDE w:val="0"/>
        <w:widowControl/>
        <w:spacing w:line="233" w:lineRule="auto" w:before="33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4.1 Geographic Coverage</w:t>
      </w:r>
    </w:p>
    <w:p>
      <w:pPr>
        <w:autoSpaceDN w:val="0"/>
        <w:autoSpaceDE w:val="0"/>
        <w:widowControl/>
        <w:spacing w:line="235" w:lineRule="auto" w:before="10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333333"/>
          <w:sz w:val="21"/>
        </w:rPr>
        <w:t>The northern Canada CATCH compilation provides comprehensive coverage of key tectonic and geological provinces: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Northern Canadian Cordillera: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Extensive data documenting Mesozoic to Eocene mountain building and</w:t>
      </w:r>
    </w:p>
    <w:p>
      <w:pPr>
        <w:autoSpaceDN w:val="0"/>
        <w:autoSpaceDE w:val="0"/>
        <w:widowControl/>
        <w:spacing w:line="235" w:lineRule="auto" w:before="64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exhumation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Arctic Islands: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Data constraining burial and exhumation in Franklinian Basin and Sverdrup Basin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Canadian Shield: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Critical data revealing dynamic cratonic response to far-field stresses through deep time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Eurekan Orogeny: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Thermochronology documenting Eocene orogenesis along Arctic margin</w:t>
      </w:r>
    </w:p>
    <w:p>
      <w:pPr>
        <w:autoSpaceDN w:val="0"/>
        <w:autoSpaceDE w:val="0"/>
        <w:widowControl/>
        <w:spacing w:line="233" w:lineRule="auto" w:before="250" w:after="14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4.2 Temporal Coverage and Data Density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006"/>
        <w:gridCol w:w="3006"/>
        <w:gridCol w:w="3006"/>
      </w:tblGrid>
      <w:tr>
        <w:trPr>
          <w:trHeight w:hRule="exact" w:val="1292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7.99999999999997" w:type="dxa"/>
            </w:tblPr>
            <w:tblGrid>
              <w:gridCol w:w="3860"/>
            </w:tblGrid>
            <w:tr>
              <w:trPr>
                <w:trHeight w:hRule="exact" w:val="1120"/>
              </w:trPr>
              <w:tc>
                <w:tcPr>
                  <w:tcW w:type="dxa" w:w="3540"/>
                  <w:tcBorders>
                    <w:start w:sz="12.0" w:val="single" w:color="#DDDDDD"/>
                    <w:top w:sz="12.0" w:val="single" w:color="#DDDDDD"/>
                    <w:end w:sz="12.0" w:val="single" w:color="#DDDDDD"/>
                    <w:bottom w:sz="12.0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4" w:after="0"/>
                    <w:ind w:left="720" w:right="72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F4E78"/>
                      <w:sz w:val="36"/>
                    </w:rPr>
                    <w:t xml:space="preserve">996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666666"/>
                      <w:sz w:val="18"/>
                    </w:rPr>
                    <w:t>Fission Track Datapoints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3720"/>
            </w:tblGrid>
            <w:tr>
              <w:trPr>
                <w:trHeight w:hRule="exact" w:val="1120"/>
              </w:trPr>
              <w:tc>
                <w:tcPr>
                  <w:tcW w:type="dxa" w:w="3526"/>
                  <w:tcBorders>
                    <w:start w:sz="12.0" w:val="single" w:color="#DDDDDD"/>
                    <w:top w:sz="12.0" w:val="single" w:color="#DDDDDD"/>
                    <w:end w:sz="12.0" w:val="single" w:color="#DDDDDD"/>
                    <w:bottom w:sz="12.0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4" w:after="0"/>
                    <w:ind w:left="864" w:right="864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F4E78"/>
                      <w:sz w:val="36"/>
                    </w:rPr>
                    <w:t xml:space="preserve">762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666666"/>
                      <w:sz w:val="18"/>
                    </w:rPr>
                    <w:t>(U-Th)/He Datapoints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45" w:type="dxa"/>
            </w:tblPr>
            <w:tblGrid>
              <w:gridCol w:w="3880"/>
            </w:tblGrid>
            <w:tr>
              <w:trPr>
                <w:trHeight w:hRule="exact" w:val="1120"/>
              </w:trPr>
              <w:tc>
                <w:tcPr>
                  <w:tcW w:type="dxa" w:w="3542"/>
                  <w:tcBorders>
                    <w:start w:sz="12.0" w:val="single" w:color="#DDDDDD"/>
                    <w:top w:sz="12.0" w:val="single" w:color="#DDDDDD"/>
                    <w:end w:sz="12.0" w:val="single" w:color="#DDDDDD"/>
                    <w:bottom w:sz="12.0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94" w:after="0"/>
                    <w:ind w:left="576" w:right="576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1F4E78"/>
                      <w:sz w:val="36"/>
                    </w:rPr>
                    <w:t xml:space="preserve">27,848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666666"/>
                      <w:sz w:val="18"/>
                    </w:rPr>
                    <w:t>Track Length Measurements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132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The data span geological ages from </w:t>
      </w:r>
      <w:r>
        <w:rPr>
          <w:rFonts w:ascii="Arial" w:hAnsi="Arial" w:eastAsia="Arial"/>
          <w:b/>
          <w:i w:val="0"/>
          <w:color w:val="1F4E78"/>
          <w:sz w:val="21"/>
        </w:rPr>
        <w:t>Precambrian to Cenozoic</w:t>
      </w:r>
      <w:r>
        <w:rPr>
          <w:rFonts w:ascii="Arial" w:hAnsi="Arial" w:eastAsia="Arial"/>
          <w:b w:val="0"/>
          <w:i w:val="0"/>
          <w:color w:val="333333"/>
          <w:sz w:val="21"/>
        </w:rPr>
        <w:t>, with the majority documenting cooling related to</w:t>
      </w:r>
    </w:p>
    <w:p>
      <w:pPr>
        <w:autoSpaceDN w:val="0"/>
        <w:autoSpaceDE w:val="0"/>
        <w:widowControl/>
        <w:spacing w:line="235" w:lineRule="auto" w:before="50" w:after="124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Mesozoic and younger tectonic systems. This comprehensive temporal coverage enables: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420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60" w:after="0"/>
              <w:ind w:left="92" w:right="244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Regional synthesis of exhumation and burial patterns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Identification of data gaps requiring new sampling campaigns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Statistical approaches to understanding continental-scale tectonics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>Validation and calibration of geodynamic models</w:t>
            </w:r>
          </w:p>
        </w:tc>
      </w:tr>
    </w:tbl>
    <w:p>
      <w:pPr>
        <w:autoSpaceDN w:val="0"/>
        <w:autoSpaceDE w:val="0"/>
        <w:widowControl/>
        <w:spacing w:line="233" w:lineRule="auto" w:before="17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4.3 Research Applications Enabled by CATCH</w:t>
      </w:r>
    </w:p>
    <w:p>
      <w:pPr>
        <w:autoSpaceDN w:val="0"/>
        <w:autoSpaceDE w:val="0"/>
        <w:widowControl/>
        <w:spacing w:line="233" w:lineRule="auto" w:before="12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CATCH database infrastructure enables advanced research applications that were previously impossible without</w:t>
      </w:r>
    </w:p>
    <w:p>
      <w:pPr>
        <w:autoSpaceDN w:val="0"/>
        <w:autoSpaceDE w:val="0"/>
        <w:widowControl/>
        <w:spacing w:line="233" w:lineRule="auto" w:before="66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centralized data access: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7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Big Data Thermochronology: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Statistical analysis of continental-scale exhumation patterns (Boone et al. 2023,</w:t>
      </w:r>
    </w:p>
    <w:p>
      <w:pPr>
        <w:autoSpaceDN w:val="0"/>
        <w:autoSpaceDE w:val="0"/>
        <w:widowControl/>
        <w:spacing w:line="235" w:lineRule="auto" w:before="64" w:after="56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Scientific Reports)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386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54" w:after="0"/>
              <w:ind w:left="9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Machine Learning Applications: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Training datasets for ML-based thermal history inversion algorithms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Regional Synthesis: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Identification of first-order tectonic events affecting Canada's bedrock evolution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Gap Analysis: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Systematic identification of under-sampled geological provinces requiring new data acquisition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Legacy Data Reinterpretation: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Re-analysis of historical data using modern kinetic models and thermal history</w:t>
            </w:r>
          </w:p>
        </w:tc>
      </w:tr>
    </w:tbl>
    <w:p>
      <w:pPr>
        <w:autoSpaceDN w:val="0"/>
        <w:autoSpaceDE w:val="0"/>
        <w:widowControl/>
        <w:spacing w:line="235" w:lineRule="auto" w:before="32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modeling codes</w:t>
      </w:r>
    </w:p>
    <w:p>
      <w:pPr>
        <w:autoSpaceDN w:val="0"/>
        <w:autoSpaceDE w:val="0"/>
        <w:widowControl/>
        <w:spacing w:line="235" w:lineRule="auto" w:before="30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5. GDAC-SA Technical Alignment</w:t>
      </w:r>
    </w:p>
    <w:p>
      <w:pPr>
        <w:autoSpaceDN w:val="0"/>
        <w:autoSpaceDE w:val="0"/>
        <w:widowControl/>
        <w:spacing w:line="233" w:lineRule="auto" w:before="344" w:after="88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5.1 Multi-Decade Data Integration Expertise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304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CATCH Database Challenge</w:t>
            </w:r>
          </w:p>
        </w:tc>
        <w:tc>
          <w:tcPr>
            <w:tcW w:type="dxa" w:w="4154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Solution Implemented</w:t>
            </w:r>
          </w:p>
        </w:tc>
        <w:tc>
          <w:tcPr>
            <w:tcW w:type="dxa" w:w="3794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GDAC-SA Applicability</w:t>
            </w:r>
          </w:p>
        </w:tc>
      </w:tr>
      <w:tr>
        <w:trPr>
          <w:trHeight w:hRule="exact" w:val="750"/>
        </w:trPr>
        <w:tc>
          <w:tcPr>
            <w:tcW w:type="dxa" w:w="304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24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Data from 1970-2021 in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diverse formats</w:t>
            </w:r>
          </w:p>
        </w:tc>
        <w:tc>
          <w:tcPr>
            <w:tcW w:type="dxa" w:w="4154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1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Multi-format extraction pipeline (digital,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analogue, OCR, image analysis)</w:t>
            </w:r>
          </w:p>
        </w:tc>
        <w:tc>
          <w:tcPr>
            <w:tcW w:type="dxa" w:w="3794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1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Directly applicable to GDAC's 50+ year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historical data integration</w:t>
            </w:r>
          </w:p>
        </w:tc>
      </w:tr>
      <w:tr>
        <w:trPr>
          <w:trHeight w:hRule="exact" w:val="750"/>
        </w:trPr>
        <w:tc>
          <w:tcPr>
            <w:tcW w:type="dxa" w:w="3046"/>
            <w:tcBorders>
              <w:start w:sz="5.599999999999994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Non-standardized metadata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across decades</w:t>
            </w:r>
          </w:p>
        </w:tc>
        <w:tc>
          <w:tcPr>
            <w:tcW w:type="dxa" w:w="4154"/>
            <w:tcBorders>
              <w:start w:sz="5.599999999999909" w:val="single" w:color="#DDDDDD"/>
              <w:top w:sz="5.600000000000364" w:val="single" w:color="#DDDDDD"/>
              <w:end w:sz="5.599999999999909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Flexible schema accommodating variable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metadata completeness</w:t>
            </w:r>
          </w:p>
        </w:tc>
        <w:tc>
          <w:tcPr>
            <w:tcW w:type="dxa" w:w="3794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4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Handles GDAC's heterogeneous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historical Saudi survey data</w:t>
            </w:r>
          </w:p>
        </w:tc>
      </w:tr>
      <w:tr>
        <w:trPr>
          <w:trHeight w:hRule="exact" w:val="746"/>
        </w:trPr>
        <w:tc>
          <w:tcPr>
            <w:tcW w:type="dxa" w:w="3046"/>
            <w:tcBorders>
              <w:start w:sz="5.599999999999994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Missing spatial coordinates</w:t>
            </w:r>
          </w:p>
        </w:tc>
        <w:tc>
          <w:tcPr>
            <w:tcW w:type="dxa" w:w="4154"/>
            <w:tcBorders>
              <w:start w:sz="5.599999999999909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Systematic georeferencing workflow using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GIS</w:t>
            </w:r>
          </w:p>
        </w:tc>
        <w:tc>
          <w:tcPr>
            <w:tcW w:type="dxa" w:w="3794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Applicable to Saudi publications lacking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GPS coordinates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3046"/>
            <w:tcBorders>
              <w:start w:sz="5.599999999999994" w:val="single" w:color="#DDDDDD"/>
              <w:top w:sz="5.600000000000023" w:val="single" w:color="#DDDDDD"/>
              <w:end w:sz="5.599999999999909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CATCH Database Challenge</w:t>
            </w:r>
          </w:p>
        </w:tc>
        <w:tc>
          <w:tcPr>
            <w:tcW w:type="dxa" w:w="4154"/>
            <w:tcBorders>
              <w:start w:sz="5.599999999999909" w:val="single" w:color="#DDDDDD"/>
              <w:top w:sz="5.600000000000023" w:val="single" w:color="#DDDDDD"/>
              <w:end w:sz="5.599999999999909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Solution Implemented</w:t>
            </w:r>
          </w:p>
        </w:tc>
        <w:tc>
          <w:tcPr>
            <w:tcW w:type="dxa" w:w="3794"/>
            <w:tcBorders>
              <w:start w:sz="5.599999999999909" w:val="single" w:color="#DDDDDD"/>
              <w:top w:sz="5.600000000000023" w:val="single" w:color="#DDDDDD"/>
              <w:end w:sz="6.399999999999636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GDAC-SA Applicability</w:t>
            </w:r>
          </w:p>
        </w:tc>
      </w:tr>
      <w:tr>
        <w:trPr>
          <w:trHeight w:hRule="exact" w:val="750"/>
        </w:trPr>
        <w:tc>
          <w:tcPr>
            <w:tcW w:type="dxa" w:w="3046"/>
            <w:tcBorders>
              <w:start w:sz="5.599999999999994" w:val="single" w:color="#DDDDDD"/>
              <w:top w:sz="5.600000000000023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24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Data in published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figures/histograms</w:t>
            </w:r>
          </w:p>
        </w:tc>
        <w:tc>
          <w:tcPr>
            <w:tcW w:type="dxa" w:w="4154"/>
            <w:tcBorders>
              <w:start w:sz="5.599999999999909" w:val="single" w:color="#DDDDDD"/>
              <w:top w:sz="5.600000000000023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Image digitization and data extraction tools</w:t>
            </w:r>
          </w:p>
        </w:tc>
        <w:tc>
          <w:tcPr>
            <w:tcW w:type="dxa" w:w="3794"/>
            <w:tcBorders>
              <w:start w:sz="5.599999999999909" w:val="single" w:color="#DDDDDD"/>
              <w:top w:sz="5.600000000000023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14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Critical for extracting data from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historical Saudi reports</w:t>
            </w:r>
          </w:p>
        </w:tc>
      </w:tr>
      <w:tr>
        <w:trPr>
          <w:trHeight w:hRule="exact" w:val="752"/>
        </w:trPr>
        <w:tc>
          <w:tcPr>
            <w:tcW w:type="dxa" w:w="3046"/>
            <w:tcBorders>
              <w:start w:sz="5.599999999999994" w:val="single" w:color="#DDDDDD"/>
              <w:top w:sz="6.399999999999977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91 disparate data sources</w:t>
            </w:r>
          </w:p>
        </w:tc>
        <w:tc>
          <w:tcPr>
            <w:tcW w:type="dxa" w:w="4154"/>
            <w:tcBorders>
              <w:start w:sz="5.599999999999909" w:val="single" w:color="#DDDDDD"/>
              <w:top w:sz="6.399999999999977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Unified quality control and validation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framework</w:t>
            </w:r>
          </w:p>
        </w:tc>
        <w:tc>
          <w:tcPr>
            <w:tcW w:type="dxa" w:w="3794"/>
            <w:tcBorders>
              <w:start w:sz="5.599999999999909" w:val="single" w:color="#DDDDDD"/>
              <w:top w:sz="6.399999999999977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1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Ensures consistency across GDAC's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multi-source data streams</w:t>
            </w:r>
          </w:p>
        </w:tc>
      </w:tr>
    </w:tbl>
    <w:p>
      <w:pPr>
        <w:autoSpaceDN w:val="0"/>
        <w:autoSpaceDE w:val="0"/>
        <w:widowControl/>
        <w:spacing w:line="233" w:lineRule="auto" w:before="20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5.2 Government Partnership and Governance</w:t>
      </w:r>
    </w:p>
    <w:p>
      <w:pPr>
        <w:autoSpaceDN w:val="0"/>
        <w:autoSpaceDE w:val="0"/>
        <w:widowControl/>
        <w:spacing w:line="235" w:lineRule="auto" w:before="122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Lithodat's collaboration with Natural Resources Canada (NRCan) on the CATCH database demonstrates: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7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Federal Agency Collaboration: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Multi-year partnership with Canadian federal government geological survey</w:t>
      </w:r>
    </w:p>
    <w:p>
      <w:pPr>
        <w:autoSpaceDN w:val="0"/>
        <w:autoSpaceDE w:val="0"/>
        <w:widowControl/>
        <w:spacing w:line="233" w:lineRule="auto" w:before="66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(GSC)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National Infrastructure Development: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Building mission-critical data infrastructure for national geoscience</w:t>
      </w:r>
    </w:p>
    <w:p>
      <w:pPr>
        <w:autoSpaceDN w:val="0"/>
        <w:autoSpaceDE w:val="0"/>
        <w:widowControl/>
        <w:spacing w:line="235" w:lineRule="auto" w:before="50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priorities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Official Publications: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CATCH work published as GSC Open File 9225 with full government co-authorship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Long-Term Sustainability: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Database designed for ongoing curation and expansion beyond initial compilation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Open Science Mandate: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Full public accessibility via AusGeochem platform aligns with government open data</w:t>
      </w:r>
    </w:p>
    <w:p>
      <w:pPr>
        <w:autoSpaceDN w:val="0"/>
        <w:autoSpaceDE w:val="0"/>
        <w:widowControl/>
        <w:spacing w:line="233" w:lineRule="auto" w:before="66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policies</w:t>
      </w:r>
    </w:p>
    <w:p>
      <w:pPr>
        <w:autoSpaceDN w:val="0"/>
        <w:autoSpaceDE w:val="0"/>
        <w:widowControl/>
        <w:spacing w:line="233" w:lineRule="auto" w:before="23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5.3 FAIR Data Implementation</w:t>
      </w:r>
    </w:p>
    <w:p>
      <w:pPr>
        <w:autoSpaceDN w:val="0"/>
        <w:autoSpaceDE w:val="0"/>
        <w:widowControl/>
        <w:spacing w:line="233" w:lineRule="auto" w:before="12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CATCH database exemplifies FAIR (Findable, Accessible, Interoperable, Reusable) data principles: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7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Findable: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Comprehensive metadata, DOI assignment (10.4095/pdreqf905k), publication in official GSC Open File</w:t>
      </w:r>
    </w:p>
    <w:p>
      <w:pPr>
        <w:autoSpaceDN w:val="0"/>
        <w:autoSpaceDE w:val="0"/>
        <w:widowControl/>
        <w:spacing w:line="235" w:lineRule="auto" w:before="64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series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Accessible: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Open-access delivery via AusGeochem platform, no authentication barriers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Interoperable: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Standardized data formats, adherence to community reporting guidelines, API-ready structure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Reusable: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Rich metadata enabling thermal history modeling, clear provenance and licensing, comprehensive</w:t>
      </w:r>
    </w:p>
    <w:p>
      <w:pPr>
        <w:autoSpaceDN w:val="0"/>
        <w:autoSpaceDE w:val="0"/>
        <w:widowControl/>
        <w:spacing w:line="235" w:lineRule="auto" w:before="50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documentation</w:t>
      </w:r>
    </w:p>
    <w:p>
      <w:pPr>
        <w:autoSpaceDN w:val="0"/>
        <w:autoSpaceDE w:val="0"/>
        <w:widowControl/>
        <w:spacing w:line="233" w:lineRule="auto" w:before="32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6. Future Expansion: Southern Canada and Thermal Modeling</w:t>
      </w:r>
    </w:p>
    <w:p>
      <w:pPr>
        <w:autoSpaceDN w:val="0"/>
        <w:autoSpaceDE w:val="0"/>
        <w:widowControl/>
        <w:spacing w:line="235" w:lineRule="auto" w:before="26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The CATCH database is being expanded through a series of GSC Open Files: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Open File 9225 (Published 2025):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Northern Canada compilation (this work)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Open File 2 (Upcoming):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Southern Canada LTT compilation plus thermal history models and metadata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Open File 3 (Upcoming):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CATCH database documentation and data submission templates for researchers</w:t>
      </w:r>
    </w:p>
    <w:p>
      <w:pPr>
        <w:autoSpaceDN w:val="0"/>
        <w:autoSpaceDE w:val="0"/>
        <w:widowControl/>
        <w:spacing w:line="235" w:lineRule="auto" w:before="170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This phased approach demonstrates Lithodat's capability to deliver large-scale national infrastructure projects in</w:t>
      </w:r>
    </w:p>
    <w:p>
      <w:pPr>
        <w:autoSpaceDN w:val="0"/>
        <w:autoSpaceDE w:val="0"/>
        <w:widowControl/>
        <w:spacing w:line="235" w:lineRule="auto" w:before="6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stages, with each phase building on previous work—directly relevant to GDAC-SA's phased implementation strategy.</w:t>
      </w:r>
    </w:p>
    <w:p>
      <w:pPr>
        <w:autoSpaceDN w:val="0"/>
        <w:autoSpaceDE w:val="0"/>
        <w:widowControl/>
        <w:spacing w:line="233" w:lineRule="auto" w:before="32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7. Official Publication and Citation</w:t>
      </w:r>
    </w:p>
    <w:p>
      <w:pPr>
        <w:autoSpaceDN w:val="0"/>
        <w:autoSpaceDE w:val="0"/>
        <w:widowControl/>
        <w:spacing w:line="233" w:lineRule="auto" w:before="638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Official Citation:</w:t>
      </w:r>
    </w:p>
    <w:p>
      <w:pPr>
        <w:autoSpaceDN w:val="0"/>
        <w:autoSpaceDE w:val="0"/>
        <w:widowControl/>
        <w:spacing w:line="235" w:lineRule="auto" w:before="17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Powell, J.W., Kellett, D.A., Kohlmann, F., and McMillan, M., 2025. Canadian ThermoCHronology (CATCH) database: northern Canada</w:t>
      </w:r>
    </w:p>
    <w:p>
      <w:pPr>
        <w:autoSpaceDN w:val="0"/>
        <w:autoSpaceDE w:val="0"/>
        <w:widowControl/>
        <w:spacing w:line="233" w:lineRule="auto" w:before="5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 xml:space="preserve">compilation; Geological Survey of Canada, Open File 9225, 1 .zip file. </w:t>
      </w:r>
      <w:r>
        <w:rPr>
          <w:rFonts w:ascii="Arial" w:hAnsi="Arial" w:eastAsia="Arial"/>
          <w:b/>
          <w:i w:val="0"/>
          <w:color w:val="1F4E78"/>
          <w:sz w:val="18"/>
        </w:rPr>
        <w:hyperlink r:id="rId22" w:history="1">
          <w:r>
            <w:rPr>
              <w:rStyle w:val="Hyperlink"/>
            </w:rPr>
            <w:t>https://doi.org/10.4095/pdreqf905k</w:t>
          </w:r>
        </w:hyperlink>
      </w:r>
    </w:p>
    <w:p>
      <w:pPr>
        <w:autoSpaceDN w:val="0"/>
        <w:autoSpaceDE w:val="0"/>
        <w:widowControl/>
        <w:spacing w:line="233" w:lineRule="auto" w:before="22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Publisher: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Natural Resources Canada, Geological Survey of Canada</w:t>
      </w:r>
    </w:p>
    <w:p>
      <w:pPr>
        <w:autoSpaceDN w:val="0"/>
        <w:autoSpaceDE w:val="0"/>
        <w:widowControl/>
        <w:spacing w:line="235" w:lineRule="auto" w:before="17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ISBN: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978-0-660-74235-9</w:t>
      </w:r>
    </w:p>
    <w:p>
      <w:pPr>
        <w:autoSpaceDN w:val="0"/>
        <w:autoSpaceDE w:val="0"/>
        <w:widowControl/>
        <w:spacing w:line="233" w:lineRule="auto" w:before="17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Catalogue No.: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M183-2/9225E-PDF</w:t>
      </w:r>
    </w:p>
    <w:p>
      <w:pPr>
        <w:autoSpaceDN w:val="0"/>
        <w:autoSpaceDE w:val="0"/>
        <w:widowControl/>
        <w:spacing w:line="235" w:lineRule="auto" w:before="17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ISSN: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2816-7155</w:t>
      </w:r>
    </w:p>
    <w:p>
      <w:pPr>
        <w:autoSpaceDN w:val="0"/>
        <w:autoSpaceDE w:val="0"/>
        <w:widowControl/>
        <w:spacing w:line="235" w:lineRule="auto" w:before="218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Lithodat Authors:</w:t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666666"/>
          <w:sz w:val="18"/>
        </w:rPr>
        <w:t>F. Kohlmann (Lithodat Pty Ltd, Melbourne, Australia)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4" w:after="0"/>
        <w:ind w:left="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666666"/>
          <w:sz w:val="18"/>
        </w:rPr>
        <w:t>M. McMillan (Lithodat Pty Ltd &amp; University of Melbourne, Australia)</w:t>
      </w:r>
    </w:p>
    <w:p>
      <w:pPr>
        <w:autoSpaceDN w:val="0"/>
        <w:autoSpaceDE w:val="0"/>
        <w:widowControl/>
        <w:spacing w:line="235" w:lineRule="auto" w:before="23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Copyright: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© His Majesty the King in Right of Canada, as represented by the Minister of Natural Resources, 2025</w:t>
      </w:r>
    </w:p>
    <w:p>
      <w:pPr>
        <w:autoSpaceDN w:val="0"/>
        <w:autoSpaceDE w:val="0"/>
        <w:widowControl/>
        <w:spacing w:line="233" w:lineRule="auto" w:before="29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8. Key Takeaways for GDAC-SA</w:t>
      </w:r>
    </w:p>
    <w:p>
      <w:pPr>
        <w:autoSpaceDN w:val="0"/>
        <w:autoSpaceDE w:val="0"/>
        <w:widowControl/>
        <w:spacing w:line="278" w:lineRule="auto" w:before="454" w:after="0"/>
        <w:ind w:left="288" w:right="288" w:firstLine="0"/>
        <w:jc w:val="left"/>
      </w:pPr>
      <w:r>
        <w:rPr>
          <w:rFonts w:ascii="Arial" w:hAnsi="Arial" w:eastAsia="Arial"/>
          <w:b/>
          <w:i w:val="0"/>
          <w:color w:val="10B981"/>
          <w:sz w:val="20"/>
        </w:rPr>
        <w:t>Proven National-Scale Data Integration: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The CATCH database demonstrates Lithodat's capability to deliver national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geological data infrastructure for federal government agencies. The project's scope (1,427 samples, 91 data sources, </w:t>
      </w:r>
      <w:r>
        <w:rPr>
          <w:rFonts w:ascii="Arial" w:hAnsi="Arial" w:eastAsia="Arial"/>
          <w:b w:val="0"/>
          <w:i w:val="0"/>
          <w:color w:val="333333"/>
          <w:sz w:val="20"/>
        </w:rPr>
        <w:t>50 years of legacy data) is directly comparable to GDAC-SA's requirements. Methodologies developed for CATCH—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including legacy data digitization, multi-format extraction pipelines, georeferencing workflows, and FAIR data </w:t>
      </w:r>
      <w:r>
        <w:rPr>
          <w:rFonts w:ascii="Arial" w:hAnsi="Arial" w:eastAsia="Arial"/>
          <w:b w:val="0"/>
          <w:i w:val="0"/>
          <w:color w:val="333333"/>
          <w:sz w:val="20"/>
        </w:rPr>
        <w:t>implementation—are immediately transferable to the Saudi geological survey context.</w:t>
      </w:r>
    </w:p>
    <w:p>
      <w:pPr>
        <w:autoSpaceDN w:val="0"/>
        <w:autoSpaceDE w:val="0"/>
        <w:widowControl/>
        <w:spacing w:line="281" w:lineRule="auto" w:before="810" w:after="0"/>
        <w:ind w:left="288" w:right="432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Government Partnership Excellence: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Lithodat's multi-year collaboration with Natural Resources Canada (federal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agency equivalent to Saudi Geological Survey) resulted in official government publications and long-term national </w:t>
      </w:r>
      <w:r>
        <w:rPr>
          <w:rFonts w:ascii="Arial" w:hAnsi="Arial" w:eastAsia="Arial"/>
          <w:b w:val="0"/>
          <w:i w:val="0"/>
          <w:color w:val="333333"/>
          <w:sz w:val="20"/>
        </w:rPr>
        <w:t>infrastructure. This demonstrates capability to work within government procurement frameworks, deliver mission-</w:t>
      </w:r>
      <w:r>
        <w:rPr>
          <w:rFonts w:ascii="Arial" w:hAnsi="Arial" w:eastAsia="Arial"/>
          <w:b w:val="0"/>
          <w:i w:val="0"/>
          <w:color w:val="333333"/>
          <w:sz w:val="20"/>
        </w:rPr>
        <w:t>critical infrastructure, and maintain partnerships through multi-phase projects—essential qualifications for the GDAC-</w:t>
      </w:r>
      <w:r>
        <w:rPr>
          <w:rFonts w:ascii="Arial" w:hAnsi="Arial" w:eastAsia="Arial"/>
          <w:b w:val="0"/>
          <w:i w:val="0"/>
          <w:color w:val="333333"/>
          <w:sz w:val="20"/>
        </w:rPr>
        <w:t>SA contract.</w:t>
      </w:r>
    </w:p>
    <w:sectPr w:rsidR="00FC693F" w:rsidRPr="0006063C" w:rsidSect="00034616">
      <w:pgSz w:w="11899" w:h="16838"/>
      <w:pgMar w:top="346" w:right="420" w:bottom="1440" w:left="4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ausgeochem.auscope.org.au/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doi.org/10.4095/pdreqf905k" TargetMode="External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