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33" w:lineRule="auto" w:before="434" w:after="0"/>
        <w:ind w:left="452" w:right="0" w:firstLine="0"/>
        <w:jc w:val="left"/>
      </w:pPr>
      <w:r>
        <w:rPr>
          <w:rFonts w:ascii="Arial" w:hAnsi="Arial" w:eastAsia="Arial"/>
          <w:b/>
          <w:i w:val="0"/>
          <w:color w:val="ABABAB"/>
          <w:sz w:val="48"/>
        </w:rPr>
        <w:t>APPENDIX K: Publications</w:t>
      </w:r>
    </w:p>
    <w:p>
      <w:pPr>
        <w:autoSpaceDN w:val="0"/>
        <w:tabs>
          <w:tab w:pos="9210" w:val="left"/>
        </w:tabs>
        <w:autoSpaceDE w:val="0"/>
        <w:widowControl/>
        <w:spacing w:line="240" w:lineRule="auto" w:before="140" w:after="0"/>
        <w:ind w:left="452" w:right="0" w:firstLine="0"/>
        <w:jc w:val="left"/>
      </w:pPr>
      <w:r>
        <w:rPr>
          <w:rFonts w:ascii="Arial" w:hAnsi="Arial" w:eastAsia="Arial"/>
          <w:b/>
          <w:i w:val="0"/>
          <w:color w:val="ABABAB"/>
          <w:sz w:val="48"/>
        </w:rPr>
        <w:t>Summary</w:t>
      </w:r>
      <w:r>
        <w:tab/>
      </w:r>
      <w:r>
        <w:drawing>
          <wp:inline xmlns:a="http://schemas.openxmlformats.org/drawingml/2006/main" xmlns:pic="http://schemas.openxmlformats.org/drawingml/2006/picture">
            <wp:extent cx="1428750" cy="2768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276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154" w:after="0"/>
        <w:ind w:left="452" w:right="0" w:firstLine="0"/>
        <w:jc w:val="left"/>
      </w:pPr>
      <w:r>
        <w:rPr>
          <w:rFonts w:ascii="Arial" w:hAnsi="Arial" w:eastAsia="Arial"/>
          <w:b w:val="0"/>
          <w:i w:val="0"/>
          <w:color w:val="ABABAB"/>
          <w:sz w:val="26"/>
        </w:rPr>
        <w:t>Academic Excellence in AI, Geology &amp; FAIR Data Systems</w:t>
      </w:r>
    </w:p>
    <w:p>
      <w:pPr>
        <w:autoSpaceDN w:val="0"/>
        <w:autoSpaceDE w:val="0"/>
        <w:widowControl/>
        <w:spacing w:line="233" w:lineRule="auto" w:before="168" w:after="0"/>
        <w:ind w:left="452" w:right="0" w:firstLine="0"/>
        <w:jc w:val="left"/>
      </w:pPr>
      <w:r>
        <w:rPr>
          <w:rFonts w:ascii="Arial" w:hAnsi="Arial" w:eastAsia="Arial"/>
          <w:b w:val="0"/>
          <w:i w:val="0"/>
          <w:color w:val="ABABAB"/>
          <w:sz w:val="20"/>
        </w:rPr>
        <w:t>GDAC-SA Advanced Analytics Platform RFQ | Lithodat Pty Ltd</w:t>
      </w:r>
    </w:p>
    <w:p>
      <w:pPr>
        <w:autoSpaceDN w:val="0"/>
        <w:autoSpaceDE w:val="0"/>
        <w:widowControl/>
        <w:spacing w:line="233" w:lineRule="auto" w:before="916" w:after="0"/>
        <w:ind w:left="738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0"/>
        </w:rPr>
        <w:t>Academic Foundation: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 Lithodat's team brings deep academic expertise from leading international institutions,</w:t>
      </w:r>
    </w:p>
    <w:p>
      <w:pPr>
        <w:autoSpaceDN w:val="0"/>
        <w:autoSpaceDE w:val="0"/>
        <w:widowControl/>
        <w:spacing w:line="233" w:lineRule="auto" w:before="46" w:after="0"/>
        <w:ind w:left="738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0"/>
        </w:rPr>
        <w:t>combining advanced research in artificial intelligence, geological sciences, and FAIR data systems. Our senior team</w:t>
      </w:r>
    </w:p>
    <w:p>
      <w:pPr>
        <w:autoSpaceDN w:val="0"/>
        <w:autoSpaceDE w:val="0"/>
        <w:widowControl/>
        <w:spacing w:line="233" w:lineRule="auto" w:before="62" w:after="0"/>
        <w:ind w:left="738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0"/>
        </w:rPr>
        <w:t>members have collectively published 87+ peer-reviewed papers, 1 scientific textbook, and developed multiple open-</w:t>
      </w:r>
    </w:p>
    <w:p>
      <w:pPr>
        <w:autoSpaceDN w:val="0"/>
        <w:autoSpaceDE w:val="0"/>
        <w:widowControl/>
        <w:spacing w:line="233" w:lineRule="auto" w:before="46" w:after="0"/>
        <w:ind w:left="738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0"/>
        </w:rPr>
        <w:t>source software tools that are actively used by the global geoscience community. This research foundation directly</w:t>
      </w:r>
    </w:p>
    <w:p>
      <w:pPr>
        <w:autoSpaceDN w:val="0"/>
        <w:autoSpaceDE w:val="0"/>
        <w:widowControl/>
        <w:spacing w:line="233" w:lineRule="auto" w:before="60" w:after="0"/>
        <w:ind w:left="738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0"/>
        </w:rPr>
        <w:t>informs our technical approach to building advanced analytics platforms for national geological surveys.</w:t>
      </w:r>
    </w:p>
    <w:p>
      <w:pPr>
        <w:autoSpaceDN w:val="0"/>
        <w:autoSpaceDE w:val="0"/>
        <w:widowControl/>
        <w:spacing w:line="235" w:lineRule="auto" w:before="532" w:after="0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Research Excellence Across Three Domains</w:t>
      </w:r>
    </w:p>
    <w:p>
      <w:pPr>
        <w:autoSpaceDN w:val="0"/>
        <w:autoSpaceDE w:val="0"/>
        <w:widowControl/>
        <w:spacing w:line="233" w:lineRule="auto" w:before="264" w:after="0"/>
        <w:ind w:left="45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Lithodat's core team has established international recognition in three critical areas directly relevant to GDAC-SA's</w:t>
      </w:r>
    </w:p>
    <w:p>
      <w:pPr>
        <w:autoSpaceDN w:val="0"/>
        <w:autoSpaceDE w:val="0"/>
        <w:widowControl/>
        <w:spacing w:line="233" w:lineRule="auto" w:before="66" w:after="0"/>
        <w:ind w:left="45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requirements:</w:t>
      </w:r>
    </w:p>
    <w:p>
      <w:pPr>
        <w:autoSpaceDN w:val="0"/>
        <w:autoSpaceDE w:val="0"/>
        <w:widowControl/>
        <w:spacing w:line="233" w:lineRule="auto" w:before="236" w:after="0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1. Artificial Intelligence &amp; Machine Learning in Geosciences</w:t>
      </w:r>
    </w:p>
    <w:p>
      <w:pPr>
        <w:autoSpaceDN w:val="0"/>
        <w:autoSpaceDE w:val="0"/>
        <w:widowControl/>
        <w:spacing w:line="233" w:lineRule="auto" w:before="124" w:after="0"/>
        <w:ind w:left="45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Our team has pioneered AI applications in geological data analysis, including:</w:t>
      </w:r>
    </w:p>
    <w:p>
      <w:pPr>
        <w:autoSpaceDN w:val="0"/>
        <w:tabs>
          <w:tab w:pos="752" w:val="left"/>
        </w:tabs>
        <w:autoSpaceDE w:val="0"/>
        <w:widowControl/>
        <w:spacing w:line="240" w:lineRule="auto" w:before="170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Automated Pattern Recognition: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Machine learning algorithms for mineral exploration, geochemical anomaly</w:t>
      </w:r>
    </w:p>
    <w:p>
      <w:pPr>
        <w:autoSpaceDN w:val="0"/>
        <w:autoSpaceDE w:val="0"/>
        <w:widowControl/>
        <w:spacing w:line="235" w:lineRule="auto" w:before="64" w:after="0"/>
        <w:ind w:left="75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detection, and resource prospectivity modeling</w:t>
      </w:r>
    </w:p>
    <w:p>
      <w:pPr>
        <w:autoSpaceDN w:val="0"/>
        <w:tabs>
          <w:tab w:pos="752" w:val="left"/>
        </w:tabs>
        <w:autoSpaceDE w:val="0"/>
        <w:widowControl/>
        <w:spacing w:line="240" w:lineRule="auto" w:before="124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Fractal &amp; Multifractal Analysis: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Advanced mathematical frameworks for analyzing spatial patterns in geological</w:t>
      </w:r>
    </w:p>
    <w:p>
      <w:pPr>
        <w:autoSpaceDN w:val="0"/>
        <w:autoSpaceDE w:val="0"/>
        <w:widowControl/>
        <w:spacing w:line="233" w:lineRule="auto" w:before="50" w:after="0"/>
        <w:ind w:left="75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and geochemical data</w:t>
      </w:r>
    </w:p>
    <w:p>
      <w:pPr>
        <w:autoSpaceDN w:val="0"/>
        <w:tabs>
          <w:tab w:pos="752" w:val="left"/>
        </w:tabs>
        <w:autoSpaceDE w:val="0"/>
        <w:widowControl/>
        <w:spacing w:line="240" w:lineRule="auto" w:before="12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Deep Learning for Exploration: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Neural networks for spatio-temporal prospectivity modeling and predictive</w:t>
      </w:r>
    </w:p>
    <w:p>
      <w:pPr>
        <w:autoSpaceDN w:val="0"/>
        <w:autoSpaceDE w:val="0"/>
        <w:widowControl/>
        <w:spacing w:line="235" w:lineRule="auto" w:before="50" w:after="0"/>
        <w:ind w:left="75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analytics</w:t>
      </w:r>
    </w:p>
    <w:p>
      <w:pPr>
        <w:autoSpaceDN w:val="0"/>
        <w:tabs>
          <w:tab w:pos="752" w:val="left"/>
        </w:tabs>
        <w:autoSpaceDE w:val="0"/>
        <w:widowControl/>
        <w:spacing w:line="240" w:lineRule="auto" w:before="124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Statistical Geochemistry: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Novel algorithms for clustering, correlation analysis, and spatial interpolation published</w:t>
      </w:r>
    </w:p>
    <w:p>
      <w:pPr>
        <w:autoSpaceDN w:val="0"/>
        <w:autoSpaceDE w:val="0"/>
        <w:widowControl/>
        <w:spacing w:line="235" w:lineRule="auto" w:before="64" w:after="0"/>
        <w:ind w:left="75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as open-source Python packages</w:t>
      </w:r>
    </w:p>
    <w:p>
      <w:pPr>
        <w:autoSpaceDN w:val="0"/>
        <w:autoSpaceDE w:val="0"/>
        <w:widowControl/>
        <w:spacing w:line="233" w:lineRule="auto" w:before="236" w:after="0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2. Geological Data Science &amp; Thermochronology</w:t>
      </w:r>
    </w:p>
    <w:p>
      <w:pPr>
        <w:autoSpaceDN w:val="0"/>
        <w:autoSpaceDE w:val="0"/>
        <w:widowControl/>
        <w:spacing w:line="235" w:lineRule="auto" w:before="122" w:after="0"/>
        <w:ind w:left="45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Extensive research experience in geological data systems and laboratory sciences:</w:t>
      </w:r>
    </w:p>
    <w:p>
      <w:pPr>
        <w:autoSpaceDN w:val="0"/>
        <w:tabs>
          <w:tab w:pos="752" w:val="left"/>
        </w:tabs>
        <w:autoSpaceDE w:val="0"/>
        <w:widowControl/>
        <w:spacing w:line="240" w:lineRule="auto" w:before="170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National Data Platforms: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Published research on design and implementation of federal geochemistry repositories</w:t>
      </w:r>
    </w:p>
    <w:p>
      <w:pPr>
        <w:autoSpaceDN w:val="0"/>
        <w:autoSpaceDE w:val="0"/>
        <w:widowControl/>
        <w:spacing w:line="233" w:lineRule="auto" w:before="66" w:after="0"/>
        <w:ind w:left="75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(AusGeochem, Isotopes.au)</w:t>
      </w:r>
    </w:p>
    <w:p>
      <w:pPr>
        <w:autoSpaceDN w:val="0"/>
        <w:tabs>
          <w:tab w:pos="752" w:val="left"/>
        </w:tabs>
        <w:autoSpaceDE w:val="0"/>
        <w:widowControl/>
        <w:spacing w:line="240" w:lineRule="auto" w:before="110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Big Data Thermochronology: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Geospatial platforms for interpreting large-scale thermochronology datasets</w:t>
      </w:r>
    </w:p>
    <w:p>
      <w:pPr>
        <w:autoSpaceDN w:val="0"/>
        <w:tabs>
          <w:tab w:pos="752" w:val="left"/>
        </w:tabs>
        <w:autoSpaceDE w:val="0"/>
        <w:widowControl/>
        <w:spacing w:line="240" w:lineRule="auto" w:before="124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Petroleum Systems Modeling: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Basin modeling, source rock characterization, and hydrocarbon generation studies</w:t>
      </w:r>
    </w:p>
    <w:p>
      <w:pPr>
        <w:autoSpaceDN w:val="0"/>
        <w:tabs>
          <w:tab w:pos="752" w:val="left"/>
        </w:tabs>
        <w:autoSpaceDE w:val="0"/>
        <w:widowControl/>
        <w:spacing w:line="240" w:lineRule="auto" w:before="124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Low-Temperature Thermochronology: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Tectonic interpretation using fission track and (U-Th)/He dating methods</w:t>
      </w:r>
    </w:p>
    <w:p>
      <w:pPr>
        <w:autoSpaceDN w:val="0"/>
        <w:autoSpaceDE w:val="0"/>
        <w:widowControl/>
        <w:spacing w:line="233" w:lineRule="auto" w:before="236" w:after="0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3. FAIR Data Systems &amp; Scientific Data Management</w:t>
      </w:r>
    </w:p>
    <w:p>
      <w:pPr>
        <w:autoSpaceDN w:val="0"/>
        <w:autoSpaceDE w:val="0"/>
        <w:widowControl/>
        <w:spacing w:line="235" w:lineRule="auto" w:before="122" w:after="110"/>
        <w:ind w:left="45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Leadership in establishing international standards for scientific data infrastructure: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50.0" w:type="dxa"/>
      </w:tblPr>
      <w:tblGrid>
        <w:gridCol w:w="4509"/>
        <w:gridCol w:w="4509"/>
      </w:tblGrid>
      <w:tr>
        <w:trPr>
          <w:trHeight w:hRule="exact" w:val="1632"/>
        </w:trPr>
        <w:tc>
          <w:tcPr>
            <w:tcW w:type="dxa" w:w="210"/>
            <w:tcBorders>
              <w:bottom w:sz="6.399999999999636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800"/>
            <w:tcBorders>
              <w:bottom w:sz="6.399999999999636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auto" w:before="60" w:after="0"/>
              <w:ind w:left="9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CoreTrustSeal Certification: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Achieved for AusGeochem repository, validating trusted data stewardship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World Data System Recognition: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EarthBank/AusGeochem recognized by International Science Council </w:t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Multi-Agency Data Harmonization: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Research on integrating heterogeneous datasets across federal organizations </w:t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FAIR Principles Implementation: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Published recommendations for 21st-century geochemical data services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338" w:right="0" w:bottom="35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33" w:lineRule="auto" w:before="34" w:after="96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Publication Statistics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50.0" w:type="dxa"/>
      </w:tblPr>
      <w:tblGrid>
        <w:gridCol w:w="2255"/>
        <w:gridCol w:w="2255"/>
        <w:gridCol w:w="2255"/>
        <w:gridCol w:w="2255"/>
      </w:tblGrid>
      <w:tr>
        <w:trPr>
          <w:trHeight w:hRule="exact" w:val="1270"/>
        </w:trPr>
        <w:tc>
          <w:tcPr>
            <w:tcW w:type="dxa" w:w="2700"/>
            <w:tcBorders>
              <w:top w:sz="11.200000000000045" w:val="single" w:color="#1F4E7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34" w:after="0"/>
              <w:ind w:left="0" w:right="83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1F4E78"/>
                <w:sz w:val="40"/>
              </w:rPr>
              <w:t>87+</w:t>
            </w:r>
          </w:p>
        </w:tc>
        <w:tc>
          <w:tcPr>
            <w:tcW w:type="dxa" w:w="2670"/>
            <w:tcBorders>
              <w:top w:sz="11.200000000000045" w:val="single" w:color="#1F4E7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34" w:after="0"/>
              <w:ind w:left="0" w:right="105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1F4E78"/>
                <w:sz w:val="40"/>
              </w:rPr>
              <w:t>1</w:t>
            </w:r>
          </w:p>
        </w:tc>
        <w:tc>
          <w:tcPr>
            <w:tcW w:type="dxa" w:w="2670"/>
            <w:tcBorders>
              <w:top w:sz="11.200000000000045" w:val="single" w:color="#1F4E7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34" w:after="0"/>
              <w:ind w:left="0" w:right="83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1F4E78"/>
                <w:sz w:val="40"/>
              </w:rPr>
              <w:t>14+</w:t>
            </w:r>
          </w:p>
        </w:tc>
        <w:tc>
          <w:tcPr>
            <w:tcW w:type="dxa" w:w="2970"/>
            <w:tcBorders>
              <w:top w:sz="11.200000000000045" w:val="single" w:color="#1F4E7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3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8"/>
                <w:sz w:val="40"/>
              </w:rPr>
              <w:t>2,000+</w:t>
            </w:r>
          </w:p>
        </w:tc>
      </w:tr>
      <w:tr>
        <w:trPr>
          <w:trHeight w:hRule="exact" w:val="484"/>
        </w:trPr>
        <w:tc>
          <w:tcPr>
            <w:tcW w:type="dxa" w:w="2700"/>
            <w:tcBorders>
              <w:bottom w:sz="12.0" w:val="single" w:color="#1F4E7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0" w:right="50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666666"/>
                <w:sz w:val="17"/>
              </w:rPr>
              <w:t>Total Publications</w:t>
            </w:r>
          </w:p>
        </w:tc>
        <w:tc>
          <w:tcPr>
            <w:tcW w:type="dxa" w:w="2670"/>
            <w:tcBorders>
              <w:bottom w:sz="12.0" w:val="single" w:color="#1F4E7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0" w:right="61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666666"/>
                <w:sz w:val="17"/>
              </w:rPr>
              <w:t>Scientific Book</w:t>
            </w:r>
          </w:p>
        </w:tc>
        <w:tc>
          <w:tcPr>
            <w:tcW w:type="dxa" w:w="2670"/>
            <w:tcBorders>
              <w:bottom w:sz="12.0" w:val="single" w:color="#1F4E7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0" w:right="66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666666"/>
                <w:sz w:val="17"/>
              </w:rPr>
              <w:t>AI/ML Papers</w:t>
            </w:r>
          </w:p>
        </w:tc>
        <w:tc>
          <w:tcPr>
            <w:tcW w:type="dxa" w:w="2970"/>
            <w:tcBorders>
              <w:bottom w:sz="12.0" w:val="single" w:color="#1F4E7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666666"/>
                <w:sz w:val="17"/>
              </w:rPr>
              <w:t>Total Citations</w:t>
            </w:r>
          </w:p>
        </w:tc>
      </w:tr>
      <w:tr>
        <w:trPr>
          <w:trHeight w:hRule="exact" w:val="376"/>
        </w:trPr>
        <w:tc>
          <w:tcPr>
            <w:tcW w:type="dxa" w:w="2700"/>
            <w:tcBorders>
              <w:top w:sz="12.0" w:val="single" w:color="#1F4E78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670"/>
            <w:tcBorders>
              <w:top w:sz="12.0" w:val="single" w:color="#1F4E78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670"/>
            <w:tcBorders>
              <w:top w:sz="12.0" w:val="single" w:color="#1F4E78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970"/>
            <w:tcBorders>
              <w:top w:sz="12.0" w:val="single" w:color="#1F4E78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3" w:lineRule="auto" w:before="276" w:after="0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1"/>
        </w:rPr>
        <w:t>Legend:</w:t>
      </w:r>
      <w:r>
        <w:rPr>
          <w:rFonts w:ascii="Arial" w:hAnsi="Arial" w:eastAsia="Arial"/>
          <w:b/>
          <w:i w:val="0"/>
          <w:color w:val="004085"/>
          <w:sz w:val="16"/>
        </w:rPr>
        <w:t>AI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 = Machine learning, automation, data science | </w:t>
      </w:r>
      <w:r>
        <w:rPr>
          <w:rFonts w:ascii="Arial" w:hAnsi="Arial" w:eastAsia="Arial"/>
          <w:b/>
          <w:i w:val="0"/>
          <w:color w:val="232629"/>
          <w:sz w:val="16"/>
        </w:rPr>
        <w:t>-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 = Traditional geological research</w:t>
      </w:r>
    </w:p>
    <w:p>
      <w:pPr>
        <w:autoSpaceDN w:val="0"/>
        <w:autoSpaceDE w:val="0"/>
        <w:widowControl/>
        <w:spacing w:line="233" w:lineRule="auto" w:before="576" w:after="0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Book Publication</w:t>
      </w:r>
    </w:p>
    <w:p>
      <w:pPr>
        <w:autoSpaceDN w:val="0"/>
        <w:autoSpaceDE w:val="0"/>
        <w:widowControl/>
        <w:spacing w:line="233" w:lineRule="auto" w:before="610" w:after="0"/>
        <w:ind w:left="768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hyperlink r:id="rId14" w:history="1">
          <w:r>
            <w:rPr>
              <w:rStyle w:val="Hyperlink"/>
            </w:rPr>
            <w:t>Fractals and Multifractals in the Geosciences</w:t>
          </w:r>
        </w:hyperlink>
      </w:r>
    </w:p>
    <w:p>
      <w:pPr>
        <w:autoSpaceDN w:val="0"/>
        <w:autoSpaceDE w:val="0"/>
        <w:widowControl/>
        <w:spacing w:line="233" w:lineRule="auto" w:before="130" w:after="142"/>
        <w:ind w:left="768" w:right="0" w:firstLine="0"/>
        <w:jc w:val="left"/>
      </w:pPr>
      <w:r>
        <w:rPr>
          <w:rFonts w:ascii="Arial" w:hAnsi="Arial" w:eastAsia="Arial"/>
          <w:b w:val="0"/>
          <w:i w:val="0"/>
          <w:color w:val="666666"/>
          <w:sz w:val="21"/>
        </w:rPr>
        <w:t>Dr. Behnam Sadeghi (Lithodat ML Technical Advisor)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3006"/>
        <w:gridCol w:w="3006"/>
        <w:gridCol w:w="3006"/>
      </w:tblGrid>
      <w:tr>
        <w:trPr>
          <w:trHeight w:hRule="exact" w:val="244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6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666666"/>
                <w:sz w:val="16"/>
              </w:rPr>
              <w:t>Publisher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666666"/>
                <w:sz w:val="16"/>
              </w:rPr>
              <w:t>Year</w:t>
            </w:r>
          </w:p>
        </w:tc>
        <w:tc>
          <w:tcPr>
            <w:tcW w:type="dxa" w:w="5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5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666666"/>
                <w:sz w:val="16"/>
              </w:rPr>
              <w:t>ISBN</w:t>
            </w:r>
          </w:p>
        </w:tc>
      </w:tr>
      <w:tr>
        <w:trPr>
          <w:trHeight w:hRule="exact" w:val="298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0" w:right="14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333333"/>
                <w:sz w:val="18"/>
              </w:rPr>
              <w:t>Elsevier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333333"/>
                <w:sz w:val="18"/>
              </w:rPr>
              <w:t>2024</w:t>
            </w:r>
          </w:p>
        </w:tc>
        <w:tc>
          <w:tcPr>
            <w:tcW w:type="dxa" w:w="5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15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333333"/>
                <w:sz w:val="18"/>
              </w:rPr>
              <w:t>978-0-323-90897-9</w:t>
            </w:r>
          </w:p>
        </w:tc>
      </w:tr>
    </w:tbl>
    <w:p>
      <w:pPr>
        <w:autoSpaceDN w:val="0"/>
        <w:autoSpaceDE w:val="0"/>
        <w:widowControl/>
        <w:spacing w:line="233" w:lineRule="auto" w:before="226" w:after="162"/>
        <w:ind w:left="768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>Comprehensive reference providing in-depth exploration of fractal and multifractal analysis in geoscience applications: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2.0" w:type="dxa"/>
      </w:tblPr>
      <w:tblGrid>
        <w:gridCol w:w="4509"/>
        <w:gridCol w:w="4509"/>
      </w:tblGrid>
      <w:tr>
        <w:trPr>
          <w:trHeight w:hRule="exact" w:val="1814"/>
        </w:trPr>
        <w:tc>
          <w:tcPr>
            <w:tcW w:type="dxa" w:w="418"/>
            <w:tcBorders>
              <w:bottom w:sz="6.0" w:val="single" w:color="#DEE2E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2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6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368"/>
            <w:tcBorders>
              <w:bottom w:sz="6.0" w:val="single" w:color="#DEE2E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3" w:lineRule="auto" w:before="60" w:after="0"/>
              <w:ind w:left="88" w:right="144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Theoretical Foundations: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Mathematical framework for fractal analysis in geological systems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Geoscience Applications: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Mineral exploration, geochemical anomaly detection, spatial pattern analysis </w:t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Computational Methods: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Python-based implementations and reproducible workflows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Case Studies: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Real-world examples from global mineral exploration projects</w:t>
            </w:r>
          </w:p>
        </w:tc>
      </w:tr>
    </w:tbl>
    <w:p>
      <w:pPr>
        <w:autoSpaceDN w:val="0"/>
        <w:autoSpaceDE w:val="0"/>
        <w:widowControl/>
        <w:spacing w:line="233" w:lineRule="auto" w:before="538" w:after="244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Key Authors (Lithodat Team)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58.0" w:type="dxa"/>
      </w:tblPr>
      <w:tblGrid>
        <w:gridCol w:w="2255"/>
        <w:gridCol w:w="2255"/>
        <w:gridCol w:w="2255"/>
        <w:gridCol w:w="2255"/>
      </w:tblGrid>
      <w:tr>
        <w:trPr>
          <w:trHeight w:hRule="exact" w:val="466"/>
        </w:trPr>
        <w:tc>
          <w:tcPr>
            <w:tcW w:type="dxa" w:w="2294"/>
            <w:tcBorders>
              <w:start w:sz="5.599999999999994" w:val="single" w:color="#DDDDDD"/>
              <w:top w:sz="6.400000000000091" w:val="single" w:color="#DDDDDD"/>
              <w:end w:sz="6.400000000000091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19"/>
              </w:rPr>
              <w:t>Author</w:t>
            </w:r>
          </w:p>
        </w:tc>
        <w:tc>
          <w:tcPr>
            <w:tcW w:type="dxa" w:w="2144"/>
            <w:tcBorders>
              <w:start w:sz="6.400000000000091" w:val="single" w:color="#DDDDDD"/>
              <w:top w:sz="6.400000000000091" w:val="single" w:color="#DDDDDD"/>
              <w:end w:sz="5.599999999999909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19"/>
              </w:rPr>
              <w:t>Role</w:t>
            </w:r>
          </w:p>
        </w:tc>
        <w:tc>
          <w:tcPr>
            <w:tcW w:type="dxa" w:w="5086"/>
            <w:tcBorders>
              <w:start w:sz="5.599999999999909" w:val="single" w:color="#DDDDDD"/>
              <w:top w:sz="6.400000000000091" w:val="single" w:color="#DDDDDD"/>
              <w:end w:sz="5.599999999999909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19"/>
              </w:rPr>
              <w:t>Research Focus</w:t>
            </w:r>
          </w:p>
        </w:tc>
        <w:tc>
          <w:tcPr>
            <w:tcW w:type="dxa" w:w="1470"/>
            <w:tcBorders>
              <w:start w:sz="5.599999999999909" w:val="single" w:color="#DDDDDD"/>
              <w:top w:sz="6.400000000000091" w:val="single" w:color="#DDDDDD"/>
              <w:end w:sz="6.399999999999636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19"/>
              </w:rPr>
              <w:t>Publications</w:t>
            </w:r>
          </w:p>
        </w:tc>
      </w:tr>
      <w:tr>
        <w:trPr>
          <w:trHeight w:hRule="exact" w:val="464"/>
        </w:trPr>
        <w:tc>
          <w:tcPr>
            <w:tcW w:type="dxa" w:w="2294"/>
            <w:tcBorders>
              <w:start w:sz="5.599999999999994" w:val="single" w:color="#DDDDDD"/>
              <w:top w:sz="5.600000000000364" w:val="single" w:color="#DDDDDD"/>
              <w:end w:sz="6.400000000000091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Dr. Fabian Kohlmann</w:t>
            </w:r>
          </w:p>
        </w:tc>
        <w:tc>
          <w:tcPr>
            <w:tcW w:type="dxa" w:w="2144"/>
            <w:tcBorders>
              <w:start w:sz="6.400000000000091" w:val="single" w:color="#DDDDDD"/>
              <w:top w:sz="5.600000000000364" w:val="single" w:color="#DDDDDD"/>
              <w:end w:sz="5.599999999999909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CEO</w:t>
            </w:r>
          </w:p>
        </w:tc>
        <w:tc>
          <w:tcPr>
            <w:tcW w:type="dxa" w:w="5086"/>
            <w:tcBorders>
              <w:start w:sz="5.599999999999909" w:val="single" w:color="#DDDDDD"/>
              <w:top w:sz="5.600000000000364" w:val="single" w:color="#DDDDDD"/>
              <w:end w:sz="5.599999999999909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2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Thermochronology, FAIR Data Platforms</w:t>
            </w:r>
          </w:p>
        </w:tc>
        <w:tc>
          <w:tcPr>
            <w:tcW w:type="dxa" w:w="1470"/>
            <w:tcBorders>
              <w:start w:sz="5.599999999999909" w:val="single" w:color="#DDDDDD"/>
              <w:top w:sz="5.600000000000364" w:val="single" w:color="#DDDDDD"/>
              <w:end w:sz="6.399999999999636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20+</w:t>
            </w:r>
          </w:p>
        </w:tc>
      </w:tr>
      <w:tr>
        <w:trPr>
          <w:trHeight w:hRule="exact" w:val="466"/>
        </w:trPr>
        <w:tc>
          <w:tcPr>
            <w:tcW w:type="dxa" w:w="2294"/>
            <w:tcBorders>
              <w:start w:sz="5.599999999999994" w:val="single" w:color="#DDDDDD"/>
              <w:top w:sz="5.600000000000364" w:val="single" w:color="#DDDDDD"/>
              <w:end w:sz="6.400000000000091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Dr. Wayne Noble</w:t>
            </w:r>
          </w:p>
        </w:tc>
        <w:tc>
          <w:tcPr>
            <w:tcW w:type="dxa" w:w="2144"/>
            <w:tcBorders>
              <w:start w:sz="6.400000000000091" w:val="single" w:color="#DDDDDD"/>
              <w:top w:sz="5.600000000000364" w:val="single" w:color="#DDDDDD"/>
              <w:end w:sz="5.599999999999909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CIO</w:t>
            </w:r>
          </w:p>
        </w:tc>
        <w:tc>
          <w:tcPr>
            <w:tcW w:type="dxa" w:w="5086"/>
            <w:tcBorders>
              <w:start w:sz="5.599999999999909" w:val="single" w:color="#DDDDDD"/>
              <w:top w:sz="5.600000000000364" w:val="single" w:color="#DDDDDD"/>
              <w:end w:sz="5.599999999999909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Scientific Data Infrastructure, Thermochronology</w:t>
            </w:r>
          </w:p>
        </w:tc>
        <w:tc>
          <w:tcPr>
            <w:tcW w:type="dxa" w:w="1470"/>
            <w:tcBorders>
              <w:start w:sz="5.599999999999909" w:val="single" w:color="#DDDDDD"/>
              <w:top w:sz="5.600000000000364" w:val="single" w:color="#DDDDDD"/>
              <w:end w:sz="6.399999999999636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15+</w:t>
            </w:r>
          </w:p>
        </w:tc>
      </w:tr>
      <w:tr>
        <w:trPr>
          <w:trHeight w:hRule="exact" w:val="450"/>
        </w:trPr>
        <w:tc>
          <w:tcPr>
            <w:tcW w:type="dxa" w:w="2294"/>
            <w:tcBorders>
              <w:start w:sz="5.599999999999994" w:val="single" w:color="#DDDDDD"/>
              <w:top w:sz="6.399999999999636" w:val="single" w:color="#DDDDDD"/>
              <w:end w:sz="6.400000000000091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Gerd Moritz Theile</w:t>
            </w:r>
          </w:p>
        </w:tc>
        <w:tc>
          <w:tcPr>
            <w:tcW w:type="dxa" w:w="2144"/>
            <w:tcBorders>
              <w:start w:sz="6.400000000000091" w:val="single" w:color="#DDDDDD"/>
              <w:top w:sz="6.399999999999636" w:val="single" w:color="#DDDDDD"/>
              <w:end w:sz="5.599999999999909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CTO</w:t>
            </w:r>
          </w:p>
        </w:tc>
        <w:tc>
          <w:tcPr>
            <w:tcW w:type="dxa" w:w="5086"/>
            <w:tcBorders>
              <w:start w:sz="5.599999999999909" w:val="single" w:color="#DDDDDD"/>
              <w:top w:sz="6.399999999999636" w:val="single" w:color="#DDDDDD"/>
              <w:end w:sz="5.599999999999909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Data Platform Architecture, Cloud Systems</w:t>
            </w:r>
          </w:p>
        </w:tc>
        <w:tc>
          <w:tcPr>
            <w:tcW w:type="dxa" w:w="1470"/>
            <w:tcBorders>
              <w:start w:sz="5.599999999999909" w:val="single" w:color="#DDDDDD"/>
              <w:top w:sz="6.399999999999636" w:val="single" w:color="#DDDDDD"/>
              <w:end w:sz="6.399999999999636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8+</w:t>
            </w:r>
          </w:p>
        </w:tc>
      </w:tr>
      <w:tr>
        <w:trPr>
          <w:trHeight w:hRule="exact" w:val="464"/>
        </w:trPr>
        <w:tc>
          <w:tcPr>
            <w:tcW w:type="dxa" w:w="2294"/>
            <w:tcBorders>
              <w:start w:sz="5.599999999999994" w:val="single" w:color="#DDDDDD"/>
              <w:top w:sz="5.600000000000364" w:val="single" w:color="#DDDDDD"/>
              <w:end w:sz="6.400000000000091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Dr. Behnam Sadeghi</w:t>
            </w:r>
          </w:p>
        </w:tc>
        <w:tc>
          <w:tcPr>
            <w:tcW w:type="dxa" w:w="2144"/>
            <w:tcBorders>
              <w:start w:sz="6.400000000000091" w:val="single" w:color="#DDDDDD"/>
              <w:top w:sz="5.600000000000364" w:val="single" w:color="#DDDDDD"/>
              <w:end w:sz="5.599999999999909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ML Technical Advisor</w:t>
            </w:r>
          </w:p>
        </w:tc>
        <w:tc>
          <w:tcPr>
            <w:tcW w:type="dxa" w:w="5086"/>
            <w:tcBorders>
              <w:start w:sz="5.599999999999909" w:val="single" w:color="#DDDDDD"/>
              <w:top w:sz="5.600000000000364" w:val="single" w:color="#DDDDDD"/>
              <w:end w:sz="5.599999999999909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2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Fractal Modeling, ML, Geochemistry, Spatial Statistics</w:t>
            </w:r>
          </w:p>
        </w:tc>
        <w:tc>
          <w:tcPr>
            <w:tcW w:type="dxa" w:w="1470"/>
            <w:tcBorders>
              <w:start w:sz="5.599999999999909" w:val="single" w:color="#DDDDDD"/>
              <w:top w:sz="5.600000000000364" w:val="single" w:color="#DDDDDD"/>
              <w:end w:sz="6.399999999999636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35+</w:t>
            </w:r>
          </w:p>
        </w:tc>
      </w:tr>
      <w:tr>
        <w:trPr>
          <w:trHeight w:hRule="exact" w:val="466"/>
        </w:trPr>
        <w:tc>
          <w:tcPr>
            <w:tcW w:type="dxa" w:w="2294"/>
            <w:tcBorders>
              <w:start w:sz="5.599999999999994" w:val="single" w:color="#DDDDDD"/>
              <w:top w:sz="5.600000000000364" w:val="single" w:color="#DDDDDD"/>
              <w:end w:sz="6.400000000000091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Dr. Qusay Abeed</w:t>
            </w:r>
          </w:p>
        </w:tc>
        <w:tc>
          <w:tcPr>
            <w:tcW w:type="dxa" w:w="2144"/>
            <w:tcBorders>
              <w:start w:sz="6.400000000000091" w:val="single" w:color="#DDDDDD"/>
              <w:top w:sz="5.600000000000364" w:val="single" w:color="#DDDDDD"/>
              <w:end w:sz="5.599999999999909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Geological Director</w:t>
            </w:r>
          </w:p>
        </w:tc>
        <w:tc>
          <w:tcPr>
            <w:tcW w:type="dxa" w:w="5086"/>
            <w:tcBorders>
              <w:start w:sz="5.599999999999909" w:val="single" w:color="#DDDDDD"/>
              <w:top w:sz="5.600000000000364" w:val="single" w:color="#DDDDDD"/>
              <w:end w:sz="5.599999999999909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Petroleum Geology, Basin Modeling, Source Rocks</w:t>
            </w:r>
          </w:p>
        </w:tc>
        <w:tc>
          <w:tcPr>
            <w:tcW w:type="dxa" w:w="1470"/>
            <w:tcBorders>
              <w:start w:sz="5.599999999999909" w:val="single" w:color="#DDDDDD"/>
              <w:top w:sz="5.600000000000364" w:val="single" w:color="#DDDDDD"/>
              <w:end w:sz="6.399999999999636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15+</w:t>
            </w:r>
          </w:p>
        </w:tc>
      </w:tr>
      <w:tr>
        <w:trPr>
          <w:trHeight w:hRule="exact" w:val="464"/>
        </w:trPr>
        <w:tc>
          <w:tcPr>
            <w:tcW w:type="dxa" w:w="2294"/>
            <w:tcBorders>
              <w:start w:sz="5.599999999999994" w:val="single" w:color="#DDDDDD"/>
              <w:top w:sz="6.399999999999636" w:val="single" w:color="#DDDDDD"/>
              <w:end w:sz="6.400000000000091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Dr. Mahdi AbuAli</w:t>
            </w:r>
          </w:p>
        </w:tc>
        <w:tc>
          <w:tcPr>
            <w:tcW w:type="dxa" w:w="2144"/>
            <w:tcBorders>
              <w:start w:sz="6.400000000000091" w:val="single" w:color="#DDDDDD"/>
              <w:top w:sz="6.399999999999636" w:val="single" w:color="#DDDDDD"/>
              <w:end w:sz="5.599999999999909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GDAC Saudi Lead</w:t>
            </w:r>
          </w:p>
        </w:tc>
        <w:tc>
          <w:tcPr>
            <w:tcW w:type="dxa" w:w="5086"/>
            <w:tcBorders>
              <w:start w:sz="5.599999999999909" w:val="single" w:color="#DDDDDD"/>
              <w:top w:sz="6.399999999999636" w:val="single" w:color="#DDDDDD"/>
              <w:end w:sz="5.599999999999909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Petroleum Systems, Saudi Arabia Geology</w:t>
            </w:r>
          </w:p>
        </w:tc>
        <w:tc>
          <w:tcPr>
            <w:tcW w:type="dxa" w:w="1470"/>
            <w:tcBorders>
              <w:start w:sz="5.599999999999909" w:val="single" w:color="#DDDDDD"/>
              <w:top w:sz="6.399999999999636" w:val="single" w:color="#DDDDDD"/>
              <w:end w:sz="6.399999999999636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20+</w:t>
            </w:r>
          </w:p>
        </w:tc>
      </w:tr>
      <w:tr>
        <w:trPr>
          <w:trHeight w:hRule="exact" w:val="450"/>
        </w:trPr>
        <w:tc>
          <w:tcPr>
            <w:tcW w:type="dxa" w:w="2294"/>
            <w:tcBorders>
              <w:start w:sz="5.599999999999994" w:val="single" w:color="#DDDDDD"/>
              <w:top w:sz="6.399999999999636" w:val="single" w:color="#DDDDDD"/>
              <w:end w:sz="6.400000000000091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Keith Dimech</w:t>
            </w:r>
          </w:p>
        </w:tc>
        <w:tc>
          <w:tcPr>
            <w:tcW w:type="dxa" w:w="2144"/>
            <w:tcBorders>
              <w:start w:sz="6.400000000000091" w:val="single" w:color="#DDDDDD"/>
              <w:top w:sz="6.399999999999636" w:val="single" w:color="#DDDDDD"/>
              <w:end w:sz="5.599999999999909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COO</w:t>
            </w:r>
          </w:p>
        </w:tc>
        <w:tc>
          <w:tcPr>
            <w:tcW w:type="dxa" w:w="5086"/>
            <w:tcBorders>
              <w:start w:sz="5.599999999999909" w:val="single" w:color="#DDDDDD"/>
              <w:top w:sz="6.399999999999636" w:val="single" w:color="#DDDDDD"/>
              <w:end w:sz="5.599999999999909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Environmental Sustainability, Carbon Accounting</w:t>
            </w:r>
          </w:p>
        </w:tc>
        <w:tc>
          <w:tcPr>
            <w:tcW w:type="dxa" w:w="1470"/>
            <w:tcBorders>
              <w:start w:sz="5.599999999999909" w:val="single" w:color="#DDDDDD"/>
              <w:top w:sz="6.399999999999636" w:val="single" w:color="#DDDDDD"/>
              <w:end w:sz="6.399999999999636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2+</w:t>
            </w:r>
          </w:p>
        </w:tc>
      </w:tr>
    </w:tbl>
    <w:p>
      <w:pPr>
        <w:autoSpaceDN w:val="0"/>
        <w:autoSpaceDE w:val="0"/>
        <w:widowControl/>
        <w:spacing w:line="233" w:lineRule="auto" w:before="530" w:after="0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Awards &amp; Recognition</w:t>
      </w:r>
    </w:p>
    <w:p>
      <w:pPr>
        <w:autoSpaceDN w:val="0"/>
        <w:autoSpaceDE w:val="0"/>
        <w:widowControl/>
        <w:spacing w:line="233" w:lineRule="auto" w:before="430" w:after="0"/>
        <w:ind w:left="738" w:right="0" w:firstLine="0"/>
        <w:jc w:val="left"/>
      </w:pPr>
      <w:r>
        <w:rPr>
          <w:rFonts w:ascii="Arial" w:hAnsi="Arial" w:eastAsia="Arial"/>
          <w:b/>
          <w:i w:val="0"/>
          <w:color w:val="856404"/>
          <w:sz w:val="21"/>
        </w:rPr>
        <w:t>2023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- </w:t>
      </w:r>
      <w:r>
        <w:rPr>
          <w:rFonts w:ascii="Arial" w:hAnsi="Arial" w:eastAsia="Arial"/>
          <w:b/>
          <w:i w:val="0"/>
          <w:color w:val="333333"/>
          <w:sz w:val="21"/>
        </w:rPr>
        <w:t>IAMG Andrei Borisovich Vistelius Research Award</w:t>
      </w:r>
    </w:p>
    <w:p>
      <w:pPr>
        <w:autoSpaceDN w:val="0"/>
        <w:autoSpaceDE w:val="0"/>
        <w:widowControl/>
        <w:spacing w:line="235" w:lineRule="auto" w:before="48" w:after="0"/>
        <w:ind w:left="738" w:right="0" w:firstLine="0"/>
        <w:jc w:val="left"/>
      </w:pPr>
      <w:r>
        <w:rPr>
          <w:rFonts w:ascii="Arial" w:hAnsi="Arial" w:eastAsia="Arial"/>
          <w:b w:val="0"/>
          <w:i w:val="0"/>
          <w:color w:val="666666"/>
          <w:sz w:val="18"/>
        </w:rPr>
        <w:t>Dr. Behnam Sadeghi (First Australian recipient - awarded for outstanding research in mathematical geosciences)</w:t>
      </w:r>
    </w:p>
    <w:p>
      <w:pPr>
        <w:sectPr>
          <w:pgSz w:w="11899" w:h="16838"/>
          <w:pgMar w:top="338" w:right="0" w:bottom="35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66" w:lineRule="auto" w:before="168" w:after="0"/>
        <w:ind w:left="738" w:right="5616" w:firstLine="0"/>
        <w:jc w:val="left"/>
      </w:pPr>
      <w:r>
        <w:rPr>
          <w:rFonts w:ascii="Arial" w:hAnsi="Arial" w:eastAsia="Arial"/>
          <w:b/>
          <w:i w:val="0"/>
          <w:color w:val="856404"/>
          <w:sz w:val="21"/>
        </w:rPr>
        <w:t>2022-2024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- </w:t>
      </w:r>
      <w:r>
        <w:rPr>
          <w:rFonts w:ascii="Arial" w:hAnsi="Arial" w:eastAsia="Arial"/>
          <w:b/>
          <w:i w:val="0"/>
          <w:color w:val="333333"/>
          <w:sz w:val="21"/>
        </w:rPr>
        <w:t xml:space="preserve">Fulbright Future Scholarship (USD $29,325) </w:t>
      </w:r>
      <w:r>
        <w:br/>
      </w:r>
      <w:r>
        <w:rPr>
          <w:rFonts w:ascii="Arial" w:hAnsi="Arial" w:eastAsia="Arial"/>
          <w:b w:val="0"/>
          <w:i w:val="0"/>
          <w:color w:val="666666"/>
          <w:sz w:val="18"/>
        </w:rPr>
        <w:t>Dr. Behnam Sadeghi (Research fellowship at Stanford University)</w:t>
      </w:r>
    </w:p>
    <w:p>
      <w:pPr>
        <w:autoSpaceDN w:val="0"/>
        <w:autoSpaceDE w:val="0"/>
        <w:widowControl/>
        <w:spacing w:line="266" w:lineRule="auto" w:before="460" w:after="0"/>
        <w:ind w:left="738" w:right="5328" w:firstLine="0"/>
        <w:jc w:val="left"/>
      </w:pPr>
      <w:r>
        <w:rPr>
          <w:rFonts w:ascii="Arial" w:hAnsi="Arial" w:eastAsia="Arial"/>
          <w:b/>
          <w:i w:val="0"/>
          <w:color w:val="856404"/>
          <w:sz w:val="21"/>
        </w:rPr>
        <w:t>2020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- </w:t>
      </w:r>
      <w:r>
        <w:rPr>
          <w:rFonts w:ascii="Arial" w:hAnsi="Arial" w:eastAsia="Arial"/>
          <w:b/>
          <w:i w:val="0"/>
          <w:color w:val="333333"/>
          <w:sz w:val="21"/>
        </w:rPr>
        <w:t xml:space="preserve">IAMG Founders Scholarship Award </w:t>
      </w:r>
      <w:r>
        <w:br/>
      </w:r>
      <w:r>
        <w:rPr>
          <w:rFonts w:ascii="Arial" w:hAnsi="Arial" w:eastAsia="Arial"/>
          <w:b w:val="0"/>
          <w:i w:val="0"/>
          <w:color w:val="666666"/>
          <w:sz w:val="18"/>
        </w:rPr>
        <w:t>Dr. Behnam Sadeghi (First-ever recipient of this prestigious scholarship)</w:t>
      </w:r>
    </w:p>
    <w:p>
      <w:pPr>
        <w:autoSpaceDN w:val="0"/>
        <w:autoSpaceDE w:val="0"/>
        <w:widowControl/>
        <w:spacing w:line="259" w:lineRule="auto" w:before="476" w:after="0"/>
        <w:ind w:left="738" w:right="3600" w:firstLine="0"/>
        <w:jc w:val="left"/>
      </w:pPr>
      <w:r>
        <w:rPr>
          <w:rFonts w:ascii="Arial" w:hAnsi="Arial" w:eastAsia="Arial"/>
          <w:b/>
          <w:i w:val="0"/>
          <w:color w:val="856404"/>
          <w:sz w:val="21"/>
        </w:rPr>
        <w:t>2023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- </w:t>
      </w:r>
      <w:r>
        <w:rPr>
          <w:rFonts w:ascii="Arial" w:hAnsi="Arial" w:eastAsia="Arial"/>
          <w:b/>
          <w:i w:val="0"/>
          <w:color w:val="333333"/>
          <w:sz w:val="21"/>
        </w:rPr>
        <w:t xml:space="preserve">CoreTrustSeal Certification </w:t>
      </w:r>
      <w:r>
        <w:br/>
      </w:r>
      <w:r>
        <w:rPr>
          <w:rFonts w:ascii="Arial" w:hAnsi="Arial" w:eastAsia="Arial"/>
          <w:b w:val="0"/>
          <w:i w:val="0"/>
          <w:color w:val="666666"/>
          <w:sz w:val="18"/>
        </w:rPr>
        <w:t>EarthBank/AusGeochem Platform (Led by Lithodat team - international repository certification)</w:t>
      </w:r>
    </w:p>
    <w:p>
      <w:pPr>
        <w:autoSpaceDN w:val="0"/>
        <w:autoSpaceDE w:val="0"/>
        <w:widowControl/>
        <w:spacing w:line="266" w:lineRule="auto" w:before="476" w:after="0"/>
        <w:ind w:left="738" w:right="4464" w:firstLine="0"/>
        <w:jc w:val="left"/>
      </w:pPr>
      <w:r>
        <w:rPr>
          <w:rFonts w:ascii="Arial" w:hAnsi="Arial" w:eastAsia="Arial"/>
          <w:b/>
          <w:i w:val="0"/>
          <w:color w:val="856404"/>
          <w:sz w:val="21"/>
        </w:rPr>
        <w:t>2023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- </w:t>
      </w:r>
      <w:r>
        <w:rPr>
          <w:rFonts w:ascii="Arial" w:hAnsi="Arial" w:eastAsia="Arial"/>
          <w:b/>
          <w:i w:val="0"/>
          <w:color w:val="333333"/>
          <w:sz w:val="21"/>
        </w:rPr>
        <w:t xml:space="preserve">World Data System Recognition </w:t>
      </w:r>
      <w:r>
        <w:br/>
      </w:r>
      <w:r>
        <w:rPr>
          <w:rFonts w:ascii="Arial" w:hAnsi="Arial" w:eastAsia="Arial"/>
          <w:b w:val="0"/>
          <w:i w:val="0"/>
          <w:color w:val="666666"/>
          <w:sz w:val="18"/>
        </w:rPr>
        <w:t>EarthBank/AusGeochem (International Science Council - trusted data infrastructure)</w:t>
      </w:r>
    </w:p>
    <w:p>
      <w:pPr>
        <w:autoSpaceDN w:val="0"/>
        <w:autoSpaceDE w:val="0"/>
        <w:widowControl/>
        <w:spacing w:line="235" w:lineRule="auto" w:before="716" w:after="96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Open-Source Software Contributions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50.0" w:type="dxa"/>
      </w:tblPr>
      <w:tblGrid>
        <w:gridCol w:w="3006"/>
        <w:gridCol w:w="3006"/>
        <w:gridCol w:w="3006"/>
      </w:tblGrid>
      <w:tr>
        <w:trPr>
          <w:trHeight w:hRule="exact" w:val="484"/>
        </w:trPr>
        <w:tc>
          <w:tcPr>
            <w:tcW w:type="dxa" w:w="1890"/>
            <w:vMerge w:val="restart"/>
            <w:tcBorders>
              <w:top w:sz="12.0" w:val="single" w:color="#1F4E7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88" w:after="0"/>
              <w:ind w:left="182" w:right="0" w:firstLine="0"/>
              <w:jc w:val="left"/>
            </w:pPr>
            <w:r>
              <w:rPr>
                <w:rFonts w:ascii="helv" w:hAnsi="helv" w:eastAsia="helv"/>
                <w:b w:val="0"/>
                <w:i w:val="0"/>
                <w:color w:val="000000"/>
                <w:sz w:val="21"/>
              </w:rPr>
              <w:hyperlink r:id="rId19" w:history="1">
                <w:r>
                  <w:rPr>
                    <w:rStyle w:val="Hyperlink"/>
                  </w:rPr>
                  <w:t>pyClusterWise</w:t>
                </w:r>
              </w:hyperlink>
            </w:r>
          </w:p>
        </w:tc>
        <w:tc>
          <w:tcPr>
            <w:tcW w:type="dxa" w:w="6980"/>
            <w:tcBorders>
              <w:top w:sz="12.0" w:val="single" w:color="#1F4E7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66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Clustering method selection with uncertainty analysis for geochemical data</w:t>
            </w:r>
          </w:p>
        </w:tc>
        <w:tc>
          <w:tcPr>
            <w:tcW w:type="dxa" w:w="2140"/>
            <w:tcBorders>
              <w:top w:sz="12.0" w:val="single" w:color="#1F4E7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66" w:after="0"/>
              <w:ind w:left="0" w:right="18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>Dr. B. Sadeghi</w:t>
            </w:r>
          </w:p>
        </w:tc>
      </w:tr>
      <w:tr>
        <w:trPr>
          <w:trHeight w:hRule="exact" w:val="236"/>
        </w:trPr>
        <w:tc>
          <w:tcPr>
            <w:tcW w:type="dxa" w:w="3006"/>
            <w:vMerge/>
            <w:tcBorders>
              <w:top w:sz="12.0" w:val="single" w:color="#1F4E78"/>
            </w:tcBorders>
          </w:tcPr>
          <w:p/>
        </w:tc>
        <w:tc>
          <w:tcPr>
            <w:tcW w:type="dxa" w:w="69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18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Inverse Radius Weighting interpolation for spatial geochemistry</w:t>
            </w:r>
          </w:p>
        </w:tc>
        <w:tc>
          <w:tcPr>
            <w:tcW w:type="dxa" w:w="21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18" w:after="0"/>
              <w:ind w:left="0" w:right="18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>Dr. B. Sadeghi</w:t>
            </w:r>
          </w:p>
        </w:tc>
      </w:tr>
      <w:tr>
        <w:trPr>
          <w:trHeight w:hRule="exact" w:val="384"/>
        </w:trPr>
        <w:tc>
          <w:tcPr>
            <w:tcW w:type="dxa" w:w="189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6" w:after="0"/>
              <w:ind w:left="182" w:right="0" w:firstLine="0"/>
              <w:jc w:val="left"/>
            </w:pPr>
            <w:r>
              <w:rPr>
                <w:w w:val="101.25361615401978"/>
                <w:rFonts w:ascii="helv" w:hAnsi="helv" w:eastAsia="helv"/>
                <w:b w:val="0"/>
                <w:i w:val="0"/>
                <w:color w:val="000000"/>
                <w:sz w:val="20"/>
              </w:rPr>
              <w:hyperlink r:id="rId20" w:history="1">
                <w:r>
                  <w:rPr>
                    <w:rStyle w:val="Hyperlink"/>
                  </w:rPr>
                  <w:t>IRWPy</w:t>
                </w:r>
              </w:hyperlink>
            </w:r>
          </w:p>
        </w:tc>
        <w:tc>
          <w:tcPr>
            <w:tcW w:type="dxa" w:w="3006"/>
            <w:vMerge/>
            <w:tcBorders/>
          </w:tcPr>
          <w:p/>
        </w:tc>
        <w:tc>
          <w:tcPr>
            <w:tcW w:type="dxa" w:w="3006"/>
            <w:vMerge/>
            <w:tcBorders/>
          </w:tcPr>
          <w:p/>
        </w:tc>
      </w:tr>
      <w:tr>
        <w:trPr>
          <w:trHeight w:hRule="exact" w:val="236"/>
        </w:trPr>
        <w:tc>
          <w:tcPr>
            <w:tcW w:type="dxa" w:w="3006"/>
            <w:vMerge/>
            <w:tcBorders/>
          </w:tcPr>
          <w:p/>
        </w:tc>
        <w:tc>
          <w:tcPr>
            <w:tcW w:type="dxa" w:w="69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8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Chatterjee Correlation Coefficient implementation for non-linear relationships</w:t>
            </w:r>
          </w:p>
        </w:tc>
        <w:tc>
          <w:tcPr>
            <w:tcW w:type="dxa" w:w="21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8" w:after="0"/>
              <w:ind w:left="0" w:right="18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>Dr. B. Sadeghi</w:t>
            </w:r>
          </w:p>
        </w:tc>
      </w:tr>
      <w:tr>
        <w:trPr>
          <w:trHeight w:hRule="exact" w:val="460"/>
        </w:trPr>
        <w:tc>
          <w:tcPr>
            <w:tcW w:type="dxa" w:w="18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10" w:after="0"/>
              <w:ind w:left="182" w:right="0" w:firstLine="0"/>
              <w:jc w:val="left"/>
            </w:pPr>
            <w:r>
              <w:rPr>
                <w:rFonts w:ascii="helv" w:hAnsi="helv" w:eastAsia="helv"/>
                <w:b w:val="0"/>
                <w:i w:val="0"/>
                <w:color w:val="000000"/>
                <w:sz w:val="21"/>
              </w:rPr>
              <w:t>TripleCpy</w:t>
            </w:r>
          </w:p>
        </w:tc>
        <w:tc>
          <w:tcPr>
            <w:tcW w:type="dxa" w:w="3006"/>
            <w:vMerge/>
            <w:tcBorders/>
          </w:tcPr>
          <w:p/>
        </w:tc>
        <w:tc>
          <w:tcPr>
            <w:tcW w:type="dxa" w:w="300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338" w:right="0" w:bottom="35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33" w:lineRule="auto" w:before="274" w:after="0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Selected Key Publications by Research Theme</w:t>
      </w:r>
    </w:p>
    <w:p>
      <w:pPr>
        <w:autoSpaceDN w:val="0"/>
        <w:autoSpaceDE w:val="0"/>
        <w:widowControl/>
        <w:spacing w:line="233" w:lineRule="auto" w:before="330" w:after="104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1. AI &amp; Machine Learning in Mineral Exploration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58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464"/>
        </w:trPr>
        <w:tc>
          <w:tcPr>
            <w:tcW w:type="dxa" w:w="674"/>
            <w:tcBorders>
              <w:start w:sz="5.599999999999994" w:val="single" w:color="#DDDDDD"/>
              <w:top w:sz="6.399999999999977" w:val="single" w:color="#DDDDDD"/>
              <w:end w:sz="6.399999999999977" w:val="single" w:color="#DDDDDD"/>
              <w:bottom w:sz="6.39999999999997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ABABAB"/>
                <w:sz w:val="19"/>
              </w:rPr>
              <w:t>Year</w:t>
            </w:r>
          </w:p>
        </w:tc>
        <w:tc>
          <w:tcPr>
            <w:tcW w:type="dxa" w:w="4576"/>
            <w:tcBorders>
              <w:start w:sz="6.399999999999977" w:val="single" w:color="#DDDDDD"/>
              <w:top w:sz="6.399999999999977" w:val="single" w:color="#DDDDDD"/>
              <w:end w:sz="6.400000000000091" w:val="single" w:color="#DDDDDD"/>
              <w:bottom w:sz="6.39999999999997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19"/>
              </w:rPr>
              <w:t>Title</w:t>
            </w:r>
          </w:p>
        </w:tc>
        <w:tc>
          <w:tcPr>
            <w:tcW w:type="dxa" w:w="3120"/>
            <w:tcBorders>
              <w:start w:sz="6.400000000000091" w:val="single" w:color="#DDDDDD"/>
              <w:top w:sz="6.399999999999977" w:val="single" w:color="#DDDDDD"/>
              <w:end w:sz="6.400000000000091" w:val="single" w:color="#DDDDDD"/>
              <w:bottom w:sz="6.39999999999997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19"/>
              </w:rPr>
              <w:t>Authors</w:t>
            </w:r>
          </w:p>
        </w:tc>
        <w:tc>
          <w:tcPr>
            <w:tcW w:type="dxa" w:w="1560"/>
            <w:tcBorders>
              <w:start w:sz="6.400000000000091" w:val="single" w:color="#DDDDDD"/>
              <w:top w:sz="6.399999999999977" w:val="single" w:color="#DDDDDD"/>
              <w:end w:sz="6.399999999999636" w:val="single" w:color="#DDDDDD"/>
              <w:bottom w:sz="6.39999999999997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ABABAB"/>
                <w:sz w:val="19"/>
              </w:rPr>
              <w:t>Journal/Venue</w:t>
            </w:r>
          </w:p>
        </w:tc>
        <w:tc>
          <w:tcPr>
            <w:tcW w:type="dxa" w:w="1064"/>
            <w:tcBorders>
              <w:start w:sz="6.399999999999636" w:val="single" w:color="#DDDDDD"/>
              <w:top w:sz="6.399999999999977" w:val="single" w:color="#DDDDDD"/>
              <w:end w:sz="6.399999999999636" w:val="single" w:color="#DDDDDD"/>
              <w:bottom w:sz="6.39999999999997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ABABAB"/>
                <w:sz w:val="19"/>
              </w:rPr>
              <w:t>Citations</w:t>
            </w:r>
          </w:p>
        </w:tc>
      </w:tr>
      <w:tr>
        <w:trPr>
          <w:trHeight w:hRule="exact" w:val="1004"/>
        </w:trPr>
        <w:tc>
          <w:tcPr>
            <w:tcW w:type="dxa" w:w="674"/>
            <w:tcBorders>
              <w:start w:sz="5.599999999999994" w:val="single" w:color="#DDDDDD"/>
              <w:top w:sz="6.399999999999977" w:val="single" w:color="#DDDDDD"/>
              <w:end w:sz="6.399999999999977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2025</w:t>
            </w:r>
          </w:p>
        </w:tc>
        <w:tc>
          <w:tcPr>
            <w:tcW w:type="dxa" w:w="4576"/>
            <w:tcBorders>
              <w:start w:sz="6.399999999999977" w:val="single" w:color="#DDDDDD"/>
              <w:top w:sz="6.399999999999977" w:val="single" w:color="#DDDDDD"/>
              <w:end w:sz="6.400000000000091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114" w:after="0"/>
              <w:ind w:left="124" w:right="288" w:firstLine="90"/>
              <w:jc w:val="left"/>
            </w:pPr>
            <w:r>
              <w:rPr>
                <w:rFonts w:ascii="Arial" w:hAnsi="Arial" w:eastAsia="Arial"/>
                <w:b/>
                <w:i w:val="0"/>
                <w:color w:val="004085"/>
                <w:sz w:val="16"/>
              </w:rPr>
              <w:t>AI</w:t>
            </w:r>
            <w:r>
              <w:rPr>
                <w:rFonts w:ascii="Arial" w:hAnsi="Arial" w:eastAsia="Arial"/>
                <w:b w:val="0"/>
                <w:i w:val="0"/>
                <w:color w:val="1F4E78"/>
                <w:sz w:val="19"/>
              </w:rPr>
              <w:hyperlink r:id="rId21" w:history="1">
                <w:r>
                  <w:rPr>
                    <w:rStyle w:val="Hyperlink"/>
                  </w:rPr>
                  <w:t xml:space="preserve">Machine learning-based spatio-temporal </w:t>
                </w:r>
              </w:hyperlink>
            </w:r>
            <w:r>
              <w:rPr>
                <w:rFonts w:ascii="Arial" w:hAnsi="Arial" w:eastAsia="Arial"/>
                <w:b w:val="0"/>
                <w:i w:val="0"/>
                <w:color w:val="1F4E78"/>
                <w:sz w:val="19"/>
              </w:rPr>
              <w:hyperlink r:id="rId21" w:history="1">
                <w:r>
                  <w:rPr>
                    <w:rStyle w:val="Hyperlink"/>
                  </w:rPr>
                  <w:t xml:space="preserve">prospectivity modeling of porphyry systems in the </w:t>
                </w:r>
              </w:hyperlink>
            </w:r>
            <w:r>
              <w:rPr>
                <w:rFonts w:ascii="Arial" w:hAnsi="Arial" w:eastAsia="Arial"/>
                <w:b w:val="0"/>
                <w:i w:val="0"/>
                <w:color w:val="1F4E78"/>
                <w:sz w:val="19"/>
              </w:rPr>
              <w:hyperlink r:id="rId21" w:history="1">
                <w:r>
                  <w:rPr>
                    <w:rStyle w:val="Hyperlink"/>
                  </w:rPr>
                  <w:t>New Guinea and Solomon Islands region</w:t>
                </w:r>
              </w:hyperlink>
            </w:r>
          </w:p>
        </w:tc>
        <w:tc>
          <w:tcPr>
            <w:tcW w:type="dxa" w:w="3120"/>
            <w:tcBorders>
              <w:start w:sz="6.400000000000091" w:val="single" w:color="#DDDDDD"/>
              <w:top w:sz="6.399999999999977" w:val="single" w:color="#DDDDDD"/>
              <w:end w:sz="6.400000000000091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98" w:after="0"/>
              <w:ind w:left="120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E Farahbakhsh, S Zahirovic, B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McInnes, S Polanco, </w:t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 xml:space="preserve">F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Kohlmann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, M Seton, et al.</w:t>
            </w:r>
          </w:p>
        </w:tc>
        <w:tc>
          <w:tcPr>
            <w:tcW w:type="dxa" w:w="1560"/>
            <w:tcBorders>
              <w:start w:sz="6.400000000000091" w:val="single" w:color="#DDDDDD"/>
              <w:top w:sz="6.399999999999977" w:val="single" w:color="#DDDDDD"/>
              <w:end w:sz="6.399999999999636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8" w:after="0"/>
              <w:ind w:left="1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Tectonics</w:t>
            </w:r>
          </w:p>
        </w:tc>
        <w:tc>
          <w:tcPr>
            <w:tcW w:type="dxa" w:w="1064"/>
            <w:tcBorders>
              <w:start w:sz="6.399999999999636" w:val="single" w:color="#DDDDDD"/>
              <w:top w:sz="6.399999999999977" w:val="single" w:color="#DDDDDD"/>
              <w:end w:sz="6.399999999999636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8" w:after="0"/>
              <w:ind w:left="1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2</w:t>
            </w:r>
          </w:p>
        </w:tc>
      </w:tr>
      <w:tr>
        <w:trPr>
          <w:trHeight w:hRule="exact" w:val="752"/>
        </w:trPr>
        <w:tc>
          <w:tcPr>
            <w:tcW w:type="dxa" w:w="674"/>
            <w:tcBorders>
              <w:start w:sz="5.599999999999994" w:val="single" w:color="#DDDDDD"/>
              <w:top w:sz="5.599999999999909" w:val="single" w:color="#DDDDDD"/>
              <w:end w:sz="6.399999999999977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2024</w:t>
            </w:r>
          </w:p>
        </w:tc>
        <w:tc>
          <w:tcPr>
            <w:tcW w:type="dxa" w:w="4576"/>
            <w:tcBorders>
              <w:start w:sz="6.399999999999977" w:val="single" w:color="#DDDDDD"/>
              <w:top w:sz="5.599999999999909" w:val="single" w:color="#DDDDDD"/>
              <w:end w:sz="6.400000000000091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4" w:val="left"/>
              </w:tabs>
              <w:autoSpaceDE w:val="0"/>
              <w:widowControl/>
              <w:spacing w:line="264" w:lineRule="auto" w:before="114" w:after="0"/>
              <w:ind w:left="124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4085"/>
                <w:sz w:val="16"/>
              </w:rPr>
              <w:t>AI</w:t>
            </w:r>
            <w:r>
              <w:rPr>
                <w:rFonts w:ascii="Arial" w:hAnsi="Arial" w:eastAsia="Arial"/>
                <w:b w:val="0"/>
                <w:i w:val="0"/>
                <w:color w:val="1F4E78"/>
                <w:sz w:val="19"/>
              </w:rPr>
              <w:hyperlink r:id="rId22" w:history="1">
                <w:r>
                  <w:rPr>
                    <w:rStyle w:val="Hyperlink"/>
                  </w:rPr>
                  <w:t xml:space="preserve">Lithium exploration targeting through robust </w:t>
                </w:r>
              </w:hyperlink>
            </w:r>
            <w:r>
              <w:rPr>
                <w:rFonts w:ascii="Arial" w:hAnsi="Arial" w:eastAsia="Arial"/>
                <w:b w:val="0"/>
                <w:i w:val="0"/>
                <w:color w:val="1F4E78"/>
                <w:sz w:val="19"/>
              </w:rPr>
              <w:hyperlink r:id="rId22" w:history="1">
                <w:r>
                  <w:rPr>
                    <w:rStyle w:val="Hyperlink"/>
                  </w:rPr>
                  <w:t>variable selection and deep anomaly detection</w:t>
                </w:r>
              </w:hyperlink>
            </w:r>
          </w:p>
        </w:tc>
        <w:tc>
          <w:tcPr>
            <w:tcW w:type="dxa" w:w="3120"/>
            <w:tcBorders>
              <w:start w:sz="6.400000000000091" w:val="single" w:color="#DDDDDD"/>
              <w:top w:sz="5.599999999999909" w:val="single" w:color="#DDDDDD"/>
              <w:end w:sz="6.400000000000091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14" w:after="0"/>
              <w:ind w:left="120" w:right="72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S Esmaeiloghli, A Lima, </w:t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 xml:space="preserve">B </w:t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Sadeghi</w:t>
            </w:r>
          </w:p>
        </w:tc>
        <w:tc>
          <w:tcPr>
            <w:tcW w:type="dxa" w:w="1560"/>
            <w:tcBorders>
              <w:start w:sz="6.400000000000091" w:val="single" w:color="#DDDDDD"/>
              <w:top w:sz="5.599999999999909" w:val="single" w:color="#DDDDDD"/>
              <w:end w:sz="6.399999999999636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4" w:after="0"/>
              <w:ind w:left="1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Geochemistry</w:t>
            </w:r>
          </w:p>
        </w:tc>
        <w:tc>
          <w:tcPr>
            <w:tcW w:type="dxa" w:w="1064"/>
            <w:tcBorders>
              <w:start w:sz="6.399999999999636" w:val="single" w:color="#DDDDDD"/>
              <w:top w:sz="5.599999999999909" w:val="single" w:color="#DDDDDD"/>
              <w:end w:sz="6.399999999999636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4" w:after="0"/>
              <w:ind w:left="1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0</w:t>
            </w:r>
          </w:p>
        </w:tc>
      </w:tr>
      <w:tr>
        <w:trPr>
          <w:trHeight w:hRule="exact" w:val="1004"/>
        </w:trPr>
        <w:tc>
          <w:tcPr>
            <w:tcW w:type="dxa" w:w="674"/>
            <w:tcBorders>
              <w:start w:sz="5.599999999999994" w:val="single" w:color="#DDDDDD"/>
              <w:top w:sz="6.400000000000091" w:val="single" w:color="#DDDDDD"/>
              <w:end w:sz="6.399999999999977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2022</w:t>
            </w:r>
          </w:p>
        </w:tc>
        <w:tc>
          <w:tcPr>
            <w:tcW w:type="dxa" w:w="4576"/>
            <w:tcBorders>
              <w:start w:sz="6.399999999999977" w:val="single" w:color="#DDDDDD"/>
              <w:top w:sz="6.400000000000091" w:val="single" w:color="#DDDDDD"/>
              <w:end w:sz="6.400000000000091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12" w:after="0"/>
              <w:ind w:left="124" w:right="144" w:firstLine="90"/>
              <w:jc w:val="left"/>
            </w:pPr>
            <w:r>
              <w:rPr>
                <w:rFonts w:ascii="Arial" w:hAnsi="Arial" w:eastAsia="Arial"/>
                <w:b/>
                <w:i w:val="0"/>
                <w:color w:val="004085"/>
                <w:sz w:val="16"/>
              </w:rPr>
              <w:t>AI</w:t>
            </w:r>
            <w:r>
              <w:rPr>
                <w:rFonts w:ascii="Arial" w:hAnsi="Arial" w:eastAsia="Arial"/>
                <w:b w:val="0"/>
                <w:i w:val="0"/>
                <w:color w:val="1F4E78"/>
                <w:sz w:val="19"/>
              </w:rPr>
              <w:hyperlink r:id="rId23" w:history="1">
                <w:r>
                  <w:rPr>
                    <w:rStyle w:val="Hyperlink"/>
                  </w:rPr>
                  <w:t xml:space="preserve">Combination of Machine Learning Algorithms </w:t>
                </w:r>
              </w:hyperlink>
            </w:r>
            <w:r>
              <w:rPr>
                <w:rFonts w:ascii="Arial" w:hAnsi="Arial" w:eastAsia="Arial"/>
                <w:b w:val="0"/>
                <w:i w:val="0"/>
                <w:color w:val="1F4E78"/>
                <w:sz w:val="19"/>
              </w:rPr>
              <w:hyperlink r:id="rId23" w:history="1">
                <w:r>
                  <w:rPr>
                    <w:rStyle w:val="Hyperlink"/>
                  </w:rPr>
                  <w:t xml:space="preserve">with Concentration-area Fractal Method for Soil </w:t>
                </w:r>
              </w:hyperlink>
            </w:r>
            <w:r>
              <w:rPr>
                <w:rFonts w:ascii="Arial" w:hAnsi="Arial" w:eastAsia="Arial"/>
                <w:b w:val="0"/>
                <w:i w:val="0"/>
                <w:color w:val="1F4E78"/>
                <w:sz w:val="19"/>
              </w:rPr>
              <w:hyperlink r:id="rId23" w:history="1">
                <w:r>
                  <w:rPr>
                    <w:rStyle w:val="Hyperlink"/>
                  </w:rPr>
                  <w:t>Geochemical Anomaly Detection</w:t>
                </w:r>
              </w:hyperlink>
            </w:r>
          </w:p>
        </w:tc>
        <w:tc>
          <w:tcPr>
            <w:tcW w:type="dxa" w:w="3120"/>
            <w:tcBorders>
              <w:start w:sz="6.400000000000091" w:val="single" w:color="#DDDDDD"/>
              <w:top w:sz="6.400000000000091" w:val="single" w:color="#DDDDDD"/>
              <w:end w:sz="6.400000000000091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98" w:after="0"/>
              <w:ind w:left="120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S Farhadi, P Afzal, M Boveiri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Konari, L Daneshvar Saein, </w:t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 xml:space="preserve">B </w:t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Sadeghi</w:t>
            </w:r>
          </w:p>
        </w:tc>
        <w:tc>
          <w:tcPr>
            <w:tcW w:type="dxa" w:w="1560"/>
            <w:tcBorders>
              <w:start w:sz="6.400000000000091" w:val="single" w:color="#DDDDDD"/>
              <w:top w:sz="6.400000000000091" w:val="single" w:color="#DDDDDD"/>
              <w:end w:sz="6.399999999999636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8" w:after="0"/>
              <w:ind w:left="1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Minerals</w:t>
            </w:r>
          </w:p>
        </w:tc>
        <w:tc>
          <w:tcPr>
            <w:tcW w:type="dxa" w:w="1064"/>
            <w:tcBorders>
              <w:start w:sz="6.399999999999636" w:val="single" w:color="#DDDDDD"/>
              <w:top w:sz="6.400000000000091" w:val="single" w:color="#DDDDDD"/>
              <w:end w:sz="6.399999999999636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8" w:after="0"/>
              <w:ind w:left="1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15</w:t>
            </w:r>
          </w:p>
        </w:tc>
      </w:tr>
    </w:tbl>
    <w:p>
      <w:pPr>
        <w:autoSpaceDN w:val="0"/>
        <w:autoSpaceDE w:val="0"/>
        <w:widowControl/>
        <w:spacing w:line="233" w:lineRule="auto" w:before="206" w:after="102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2. FAIR Data Platforms &amp; Scientific Data Infrastructure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58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450"/>
        </w:trPr>
        <w:tc>
          <w:tcPr>
            <w:tcW w:type="dxa" w:w="674"/>
            <w:tcBorders>
              <w:start w:sz="5.599999999999994" w:val="single" w:color="#DDDDDD"/>
              <w:top w:sz="5.599999999999909" w:val="single" w:color="#DDDDDD"/>
              <w:end w:sz="6.399999999999977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ABABAB"/>
                <w:sz w:val="19"/>
              </w:rPr>
              <w:t>Year</w:t>
            </w:r>
          </w:p>
        </w:tc>
        <w:tc>
          <w:tcPr>
            <w:tcW w:type="dxa" w:w="3976"/>
            <w:tcBorders>
              <w:start w:sz="6.399999999999977" w:val="single" w:color="#DDDDDD"/>
              <w:top w:sz="5.599999999999909" w:val="single" w:color="#DDDDDD"/>
              <w:end w:sz="6.400000000000091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19"/>
              </w:rPr>
              <w:t>Title</w:t>
            </w:r>
          </w:p>
        </w:tc>
        <w:tc>
          <w:tcPr>
            <w:tcW w:type="dxa" w:w="3060"/>
            <w:tcBorders>
              <w:start w:sz="6.400000000000091" w:val="single" w:color="#DDDDDD"/>
              <w:top w:sz="5.599999999999909" w:val="single" w:color="#DDDDDD"/>
              <w:end w:sz="6.400000000000091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19"/>
              </w:rPr>
              <w:t>Authors</w:t>
            </w:r>
          </w:p>
        </w:tc>
        <w:tc>
          <w:tcPr>
            <w:tcW w:type="dxa" w:w="2220"/>
            <w:tcBorders>
              <w:start w:sz="6.400000000000091" w:val="single" w:color="#DDDDDD"/>
              <w:top w:sz="5.599999999999909" w:val="single" w:color="#DDDDDD"/>
              <w:end w:sz="6.399999999999636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19"/>
              </w:rPr>
              <w:t>Journal/Venue</w:t>
            </w:r>
          </w:p>
        </w:tc>
        <w:tc>
          <w:tcPr>
            <w:tcW w:type="dxa" w:w="1064"/>
            <w:tcBorders>
              <w:start w:sz="6.399999999999636" w:val="single" w:color="#DDDDDD"/>
              <w:top w:sz="5.599999999999909" w:val="single" w:color="#DDDDDD"/>
              <w:end w:sz="6.399999999999636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ABABAB"/>
                <w:sz w:val="19"/>
              </w:rPr>
              <w:t>Citations</w:t>
            </w:r>
          </w:p>
        </w:tc>
      </w:tr>
      <w:tr>
        <w:trPr>
          <w:trHeight w:hRule="exact" w:val="990"/>
        </w:trPr>
        <w:tc>
          <w:tcPr>
            <w:tcW w:type="dxa" w:w="674"/>
            <w:tcBorders>
              <w:start w:sz="5.599999999999994" w:val="single" w:color="#DDDDDD"/>
              <w:top w:sz="6.400000000000091" w:val="single" w:color="#DDDDDD"/>
              <w:end w:sz="6.399999999999977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2022</w:t>
            </w:r>
          </w:p>
        </w:tc>
        <w:tc>
          <w:tcPr>
            <w:tcW w:type="dxa" w:w="3976"/>
            <w:tcBorders>
              <w:start w:sz="6.399999999999977" w:val="single" w:color="#DDDDDD"/>
              <w:top w:sz="6.400000000000091" w:val="single" w:color="#DDDDDD"/>
              <w:end w:sz="6.400000000000091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98" w:after="0"/>
              <w:ind w:left="124" w:right="86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F4E78"/>
                <w:sz w:val="19"/>
              </w:rPr>
              <w:hyperlink r:id="rId24" w:history="1">
                <w:r>
                  <w:rPr>
                    <w:rStyle w:val="Hyperlink"/>
                  </w:rPr>
                  <w:t xml:space="preserve">AusGeochem: An open platform for </w:t>
                </w:r>
              </w:hyperlink>
            </w:r>
            <w:r>
              <w:rPr>
                <w:rFonts w:ascii="Arial" w:hAnsi="Arial" w:eastAsia="Arial"/>
                <w:b w:val="0"/>
                <w:i w:val="0"/>
                <w:color w:val="1F4E78"/>
                <w:sz w:val="19"/>
              </w:rPr>
              <w:hyperlink r:id="rId24" w:history="1">
                <w:r>
                  <w:rPr>
                    <w:rStyle w:val="Hyperlink"/>
                  </w:rPr>
                  <w:t xml:space="preserve">geochemical data preservation, </w:t>
                </w:r>
              </w:hyperlink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1F4E78"/>
                <w:sz w:val="19"/>
              </w:rPr>
              <w:hyperlink r:id="rId24" w:history="1">
                <w:r>
                  <w:rPr>
                    <w:rStyle w:val="Hyperlink"/>
                  </w:rPr>
                  <w:t>dissemination and synthesis</w:t>
                </w:r>
              </w:hyperlink>
            </w:r>
          </w:p>
        </w:tc>
        <w:tc>
          <w:tcPr>
            <w:tcW w:type="dxa" w:w="3060"/>
            <w:tcBorders>
              <w:start w:sz="6.400000000000091" w:val="single" w:color="#DDDDDD"/>
              <w:top w:sz="6.400000000000091" w:val="single" w:color="#DDDDDD"/>
              <w:end w:sz="6.400000000000091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98" w:after="0"/>
              <w:ind w:left="118" w:right="274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SC Boone, H Dalton, A Prent, </w:t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 xml:space="preserve">F </w:t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Kohlmann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, </w:t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M Theile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, Y Greau,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G Florin, </w:t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W Noble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, et al.</w:t>
            </w:r>
          </w:p>
        </w:tc>
        <w:tc>
          <w:tcPr>
            <w:tcW w:type="dxa" w:w="2220"/>
            <w:tcBorders>
              <w:start w:sz="6.400000000000091" w:val="single" w:color="#DDDDDD"/>
              <w:top w:sz="6.400000000000091" w:val="single" w:color="#DDDDDD"/>
              <w:end w:sz="6.399999999999636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98" w:after="0"/>
              <w:ind w:left="122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Geostandards and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Geoanalytical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Research</w:t>
            </w:r>
          </w:p>
        </w:tc>
        <w:tc>
          <w:tcPr>
            <w:tcW w:type="dxa" w:w="1064"/>
            <w:tcBorders>
              <w:start w:sz="6.399999999999636" w:val="single" w:color="#DDDDDD"/>
              <w:top w:sz="6.400000000000091" w:val="single" w:color="#DDDDDD"/>
              <w:end w:sz="6.399999999999636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8" w:after="0"/>
              <w:ind w:left="1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27</w:t>
            </w:r>
          </w:p>
        </w:tc>
      </w:tr>
      <w:tr>
        <w:trPr>
          <w:trHeight w:hRule="exact" w:val="1006"/>
        </w:trPr>
        <w:tc>
          <w:tcPr>
            <w:tcW w:type="dxa" w:w="674"/>
            <w:tcBorders>
              <w:start w:sz="5.599999999999994" w:val="single" w:color="#DDDDDD"/>
              <w:top w:sz="5.599999999999909" w:val="single" w:color="#DDDDDD"/>
              <w:end w:sz="6.399999999999977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2023</w:t>
            </w:r>
          </w:p>
        </w:tc>
        <w:tc>
          <w:tcPr>
            <w:tcW w:type="dxa" w:w="3976"/>
            <w:tcBorders>
              <w:start w:sz="6.399999999999977" w:val="single" w:color="#DDDDDD"/>
              <w:top w:sz="5.599999999999909" w:val="single" w:color="#DDDDDD"/>
              <w:end w:sz="6.400000000000091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98" w:after="0"/>
              <w:ind w:left="124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F4E78"/>
                <w:sz w:val="19"/>
              </w:rPr>
              <w:hyperlink r:id="rId25" w:history="1">
                <w:r>
                  <w:rPr>
                    <w:rStyle w:val="Hyperlink"/>
                  </w:rPr>
                  <w:t xml:space="preserve">Community recommendations for </w:t>
                </w:r>
              </w:hyperlink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1F4E78"/>
                <w:sz w:val="19"/>
              </w:rPr>
              <w:hyperlink r:id="rId25" w:history="1">
                <w:r>
                  <w:rPr>
                    <w:rStyle w:val="Hyperlink"/>
                  </w:rPr>
                  <w:t xml:space="preserve">geochemical data, services and analytical </w:t>
                </w:r>
              </w:hyperlink>
            </w:r>
            <w:r>
              <w:rPr>
                <w:rFonts w:ascii="Arial" w:hAnsi="Arial" w:eastAsia="Arial"/>
                <w:b w:val="0"/>
                <w:i w:val="0"/>
                <w:color w:val="1F4E78"/>
                <w:sz w:val="19"/>
              </w:rPr>
              <w:hyperlink r:id="rId25" w:history="1">
                <w:r>
                  <w:rPr>
                    <w:rStyle w:val="Hyperlink"/>
                  </w:rPr>
                  <w:t>capabilities in the 21st century</w:t>
                </w:r>
              </w:hyperlink>
            </w:r>
          </w:p>
        </w:tc>
        <w:tc>
          <w:tcPr>
            <w:tcW w:type="dxa" w:w="3060"/>
            <w:tcBorders>
              <w:start w:sz="6.400000000000091" w:val="single" w:color="#DDDDDD"/>
              <w:top w:sz="5.599999999999909" w:val="single" w:color="#DDDDDD"/>
              <w:end w:sz="6.400000000000091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98" w:after="0"/>
              <w:ind w:left="118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M Klocking, L Wyborn, KA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Lehnert, B Ware, AM Prent, L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Profeta, </w:t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F Kohlmann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, et al.</w:t>
            </w:r>
          </w:p>
        </w:tc>
        <w:tc>
          <w:tcPr>
            <w:tcW w:type="dxa" w:w="2220"/>
            <w:tcBorders>
              <w:start w:sz="6.400000000000091" w:val="single" w:color="#DDDDDD"/>
              <w:top w:sz="5.599999999999909" w:val="single" w:color="#DDDDDD"/>
              <w:end w:sz="6.399999999999636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34" w:after="0"/>
              <w:ind w:left="122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Geochimica et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Cosmochimica Acta</w:t>
            </w:r>
          </w:p>
        </w:tc>
        <w:tc>
          <w:tcPr>
            <w:tcW w:type="dxa" w:w="1064"/>
            <w:tcBorders>
              <w:start w:sz="6.399999999999636" w:val="single" w:color="#DDDDDD"/>
              <w:top w:sz="5.599999999999909" w:val="single" w:color="#DDDDDD"/>
              <w:end w:sz="6.399999999999636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8" w:after="0"/>
              <w:ind w:left="1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19</w:t>
            </w:r>
          </w:p>
        </w:tc>
      </w:tr>
      <w:tr>
        <w:trPr>
          <w:trHeight w:hRule="exact" w:val="990"/>
        </w:trPr>
        <w:tc>
          <w:tcPr>
            <w:tcW w:type="dxa" w:w="674"/>
            <w:tcBorders>
              <w:start w:sz="5.599999999999994" w:val="single" w:color="#DDDDDD"/>
              <w:top w:sz="6.400000000000091" w:val="single" w:color="#DDDDDD"/>
              <w:end w:sz="6.399999999999977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5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2024</w:t>
            </w:r>
          </w:p>
        </w:tc>
        <w:tc>
          <w:tcPr>
            <w:tcW w:type="dxa" w:w="3976"/>
            <w:tcBorders>
              <w:start w:sz="6.399999999999977" w:val="single" w:color="#DDDDDD"/>
              <w:top w:sz="6.400000000000091" w:val="single" w:color="#DDDDDD"/>
              <w:end w:sz="6.400000000000091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98" w:after="0"/>
              <w:ind w:left="124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Empowering Geochemical Exploration and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Research: Lithodat's Collaborative Data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Platforms and Partnerships</w:t>
            </w:r>
          </w:p>
        </w:tc>
        <w:tc>
          <w:tcPr>
            <w:tcW w:type="dxa" w:w="3060"/>
            <w:tcBorders>
              <w:start w:sz="6.400000000000091" w:val="single" w:color="#DDDDDD"/>
              <w:top w:sz="6.400000000000091" w:val="single" w:color="#DDDDDD"/>
              <w:end w:sz="6.400000000000091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32" w:after="0"/>
              <w:ind w:left="118" w:right="576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W Noble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, </w:t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F Kohlmann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, </w:t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 xml:space="preserve">M </w:t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Theile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, et al.</w:t>
            </w:r>
          </w:p>
        </w:tc>
        <w:tc>
          <w:tcPr>
            <w:tcW w:type="dxa" w:w="2220"/>
            <w:tcBorders>
              <w:start w:sz="6.400000000000091" w:val="single" w:color="#DDDDDD"/>
              <w:top w:sz="6.400000000000091" w:val="single" w:color="#DDDDDD"/>
              <w:end w:sz="6.399999999999636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32" w:after="0"/>
              <w:ind w:left="0" w:right="1008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Goldschmidt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Conference</w:t>
            </w:r>
          </w:p>
        </w:tc>
        <w:tc>
          <w:tcPr>
            <w:tcW w:type="dxa" w:w="1064"/>
            <w:tcBorders>
              <w:start w:sz="6.399999999999636" w:val="single" w:color="#DDDDDD"/>
              <w:top w:sz="6.400000000000091" w:val="single" w:color="#DDDDDD"/>
              <w:end w:sz="6.399999999999636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52" w:after="0"/>
              <w:ind w:left="1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33" w:lineRule="auto" w:before="204" w:after="88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3. Thermochronology &amp; Big Data Geoscience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58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466"/>
        </w:trPr>
        <w:tc>
          <w:tcPr>
            <w:tcW w:type="dxa" w:w="674"/>
            <w:tcBorders>
              <w:start w:sz="5.599999999999994" w:val="single" w:color="#DDDDDD"/>
              <w:top w:sz="6.400000000000091" w:val="single" w:color="#DDDDDD"/>
              <w:end w:sz="6.399999999999977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ABABAB"/>
                <w:sz w:val="19"/>
              </w:rPr>
              <w:t>Year</w:t>
            </w:r>
          </w:p>
        </w:tc>
        <w:tc>
          <w:tcPr>
            <w:tcW w:type="dxa" w:w="4590"/>
            <w:tcBorders>
              <w:start w:sz="6.399999999999977" w:val="single" w:color="#DDDDDD"/>
              <w:top w:sz="6.400000000000091" w:val="single" w:color="#DDDDDD"/>
              <w:end w:sz="5.599999999999909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19"/>
              </w:rPr>
              <w:t>Title</w:t>
            </w:r>
          </w:p>
        </w:tc>
        <w:tc>
          <w:tcPr>
            <w:tcW w:type="dxa" w:w="2626"/>
            <w:tcBorders>
              <w:start w:sz="5.599999999999909" w:val="single" w:color="#DDDDDD"/>
              <w:top w:sz="6.400000000000091" w:val="single" w:color="#DDDDDD"/>
              <w:end w:sz="6.400000000000091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19"/>
              </w:rPr>
              <w:t>Authors</w:t>
            </w:r>
          </w:p>
        </w:tc>
        <w:tc>
          <w:tcPr>
            <w:tcW w:type="dxa" w:w="2040"/>
            <w:tcBorders>
              <w:start w:sz="6.400000000000091" w:val="single" w:color="#DDDDDD"/>
              <w:top w:sz="6.400000000000091" w:val="single" w:color="#DDDDDD"/>
              <w:end w:sz="6.399999999999636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19"/>
              </w:rPr>
              <w:t>Journal/Venue</w:t>
            </w:r>
          </w:p>
        </w:tc>
        <w:tc>
          <w:tcPr>
            <w:tcW w:type="dxa" w:w="1064"/>
            <w:tcBorders>
              <w:start w:sz="6.399999999999636" w:val="single" w:color="#DDDDDD"/>
              <w:top w:sz="6.400000000000091" w:val="single" w:color="#DDDDDD"/>
              <w:end w:sz="6.399999999999636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ABABAB"/>
                <w:sz w:val="19"/>
              </w:rPr>
              <w:t>Citations</w:t>
            </w:r>
          </w:p>
        </w:tc>
      </w:tr>
      <w:tr>
        <w:trPr>
          <w:trHeight w:hRule="exact" w:val="1260"/>
        </w:trPr>
        <w:tc>
          <w:tcPr>
            <w:tcW w:type="dxa" w:w="674"/>
            <w:tcBorders>
              <w:start w:sz="5.599999999999994" w:val="single" w:color="#DDDDDD"/>
              <w:top w:sz="5.599999999999909" w:val="single" w:color="#DDDDDD"/>
              <w:end w:sz="6.399999999999977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2023</w:t>
            </w:r>
          </w:p>
        </w:tc>
        <w:tc>
          <w:tcPr>
            <w:tcW w:type="dxa" w:w="4590"/>
            <w:tcBorders>
              <w:start w:sz="6.399999999999977" w:val="single" w:color="#DDDDDD"/>
              <w:top w:sz="5.599999999999909" w:val="single" w:color="#DDDDDD"/>
              <w:end w:sz="5.599999999999909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234" w:after="0"/>
              <w:ind w:left="124" w:right="0" w:firstLine="90"/>
              <w:jc w:val="left"/>
            </w:pPr>
            <w:r>
              <w:rPr>
                <w:rFonts w:ascii="Arial" w:hAnsi="Arial" w:eastAsia="Arial"/>
                <w:b/>
                <w:i w:val="0"/>
                <w:color w:val="004085"/>
                <w:sz w:val="16"/>
              </w:rPr>
              <w:t>AI</w:t>
            </w:r>
            <w:r>
              <w:rPr>
                <w:rFonts w:ascii="Arial" w:hAnsi="Arial" w:eastAsia="Arial"/>
                <w:b w:val="0"/>
                <w:i w:val="0"/>
                <w:color w:val="1F4E78"/>
                <w:sz w:val="19"/>
              </w:rPr>
              <w:hyperlink r:id="rId26" w:history="1">
                <w:r>
                  <w:rPr>
                    <w:rStyle w:val="Hyperlink"/>
                  </w:rPr>
                  <w:t xml:space="preserve">A geospatial platform for the tectonic </w:t>
                </w:r>
              </w:hyperlink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1F4E78"/>
                <w:sz w:val="19"/>
              </w:rPr>
              <w:hyperlink r:id="rId26" w:history="1">
                <w:r>
                  <w:rPr>
                    <w:rStyle w:val="Hyperlink"/>
                  </w:rPr>
                  <w:t xml:space="preserve">interpretation of low-temperature thermochronology </w:t>
                </w:r>
              </w:hyperlink>
            </w:r>
            <w:r>
              <w:rPr>
                <w:rFonts w:ascii="Arial" w:hAnsi="Arial" w:eastAsia="Arial"/>
                <w:b w:val="0"/>
                <w:i w:val="0"/>
                <w:color w:val="1F4E78"/>
                <w:sz w:val="19"/>
              </w:rPr>
              <w:hyperlink r:id="rId26" w:history="1">
                <w:r>
                  <w:rPr>
                    <w:rStyle w:val="Hyperlink"/>
                  </w:rPr>
                  <w:t>Big Data</w:t>
                </w:r>
              </w:hyperlink>
            </w:r>
          </w:p>
        </w:tc>
        <w:tc>
          <w:tcPr>
            <w:tcW w:type="dxa" w:w="2626"/>
            <w:tcBorders>
              <w:start w:sz="5.599999999999909" w:val="single" w:color="#DDDDDD"/>
              <w:top w:sz="5.599999999999909" w:val="single" w:color="#DDDDDD"/>
              <w:end w:sz="6.400000000000091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00" w:after="0"/>
              <w:ind w:left="12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SC Boone, </w:t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F Kohlmann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, </w:t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 xml:space="preserve">W </w:t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Noble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, </w:t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M Theile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, 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Beucher, B Kohn, S Glorie,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et al.</w:t>
            </w:r>
          </w:p>
        </w:tc>
        <w:tc>
          <w:tcPr>
            <w:tcW w:type="dxa" w:w="2040"/>
            <w:tcBorders>
              <w:start w:sz="6.400000000000091" w:val="single" w:color="#DDDDDD"/>
              <w:top w:sz="5.599999999999909" w:val="single" w:color="#DDDDDD"/>
              <w:end w:sz="6.399999999999636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370" w:after="0"/>
              <w:ind w:left="120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Scientific Reports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(Nature)</w:t>
            </w:r>
          </w:p>
        </w:tc>
        <w:tc>
          <w:tcPr>
            <w:tcW w:type="dxa" w:w="1064"/>
            <w:tcBorders>
              <w:start w:sz="6.399999999999636" w:val="single" w:color="#DDDDDD"/>
              <w:top w:sz="5.599999999999909" w:val="single" w:color="#DDDDDD"/>
              <w:end w:sz="6.399999999999636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4" w:after="0"/>
              <w:ind w:left="1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12</w:t>
            </w:r>
          </w:p>
        </w:tc>
      </w:tr>
      <w:tr>
        <w:trPr>
          <w:trHeight w:hRule="exact" w:val="990"/>
        </w:trPr>
        <w:tc>
          <w:tcPr>
            <w:tcW w:type="dxa" w:w="674"/>
            <w:tcBorders>
              <w:start w:sz="5.599999999999994" w:val="single" w:color="#DDDDDD"/>
              <w:top w:sz="5.600000000000364" w:val="single" w:color="#DDDDDD"/>
              <w:end w:sz="6.399999999999977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7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2014</w:t>
            </w:r>
          </w:p>
        </w:tc>
        <w:tc>
          <w:tcPr>
            <w:tcW w:type="dxa" w:w="4590"/>
            <w:tcBorders>
              <w:start w:sz="6.399999999999977" w:val="single" w:color="#DDDDDD"/>
              <w:top w:sz="5.600000000000364" w:val="single" w:color="#DDDDDD"/>
              <w:end w:sz="5.599999999999909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00" w:after="0"/>
              <w:ind w:left="124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F4E78"/>
                <w:sz w:val="19"/>
              </w:rPr>
              <w:hyperlink r:id="rId27" w:history="1">
                <w:r>
                  <w:rPr>
                    <w:rStyle w:val="Hyperlink"/>
                  </w:rPr>
                  <w:t xml:space="preserve">From orogen to passive margin: constraints from </w:t>
                </w:r>
              </w:hyperlink>
            </w:r>
            <w:r>
              <w:rPr>
                <w:rFonts w:ascii="Arial" w:hAnsi="Arial" w:eastAsia="Arial"/>
                <w:b w:val="0"/>
                <w:i w:val="0"/>
                <w:color w:val="1F4E78"/>
                <w:sz w:val="19"/>
              </w:rPr>
              <w:hyperlink r:id="rId27" w:history="1">
                <w:r>
                  <w:rPr>
                    <w:rStyle w:val="Hyperlink"/>
                  </w:rPr>
                  <w:t xml:space="preserve">fission track and (U-Th)/He analyses on Mesozoic </w:t>
                </w:r>
              </w:hyperlink>
            </w:r>
            <w:r>
              <w:rPr>
                <w:rFonts w:ascii="Arial" w:hAnsi="Arial" w:eastAsia="Arial"/>
                <w:b w:val="0"/>
                <w:i w:val="0"/>
                <w:color w:val="1F4E78"/>
                <w:sz w:val="19"/>
              </w:rPr>
              <w:hyperlink r:id="rId27" w:history="1">
                <w:r>
                  <w:rPr>
                    <w:rStyle w:val="Hyperlink"/>
                  </w:rPr>
                  <w:t>uplift and fault reactivation in SW Norway</w:t>
                </w:r>
              </w:hyperlink>
            </w:r>
          </w:p>
        </w:tc>
        <w:tc>
          <w:tcPr>
            <w:tcW w:type="dxa" w:w="2626"/>
            <w:tcBorders>
              <w:start w:sz="5.599999999999909" w:val="single" w:color="#DDDDDD"/>
              <w:top w:sz="5.600000000000364" w:val="single" w:color="#DDDDDD"/>
              <w:end w:sz="6.400000000000091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00" w:after="0"/>
              <w:ind w:left="122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AK Ksienzyk, I Dunkl, J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Jacobs, H Fossen, </w:t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 xml:space="preserve">F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Kohlmann</w:t>
            </w:r>
          </w:p>
        </w:tc>
        <w:tc>
          <w:tcPr>
            <w:tcW w:type="dxa" w:w="2040"/>
            <w:tcBorders>
              <w:start w:sz="6.400000000000091" w:val="single" w:color="#DDDDDD"/>
              <w:top w:sz="5.600000000000364" w:val="single" w:color="#DDDDDD"/>
              <w:end w:sz="6.399999999999636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34" w:after="0"/>
              <w:ind w:left="120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Geological Society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Special Publications</w:t>
            </w:r>
          </w:p>
        </w:tc>
        <w:tc>
          <w:tcPr>
            <w:tcW w:type="dxa" w:w="1064"/>
            <w:tcBorders>
              <w:start w:sz="6.399999999999636" w:val="single" w:color="#DDDDDD"/>
              <w:top w:sz="5.600000000000364" w:val="single" w:color="#DDDDDD"/>
              <w:end w:sz="6.399999999999636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70" w:after="0"/>
              <w:ind w:left="1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76</w:t>
            </w:r>
          </w:p>
        </w:tc>
      </w:tr>
      <w:tr>
        <w:trPr>
          <w:trHeight w:hRule="exact" w:val="1274"/>
        </w:trPr>
        <w:tc>
          <w:tcPr>
            <w:tcW w:type="dxa" w:w="674"/>
            <w:tcBorders>
              <w:start w:sz="5.599999999999994" w:val="single" w:color="#DDDDDD"/>
              <w:top w:sz="6.399999999999636" w:val="single" w:color="#DDDDDD"/>
              <w:end w:sz="6.399999999999977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2009</w:t>
            </w:r>
          </w:p>
        </w:tc>
        <w:tc>
          <w:tcPr>
            <w:tcW w:type="dxa" w:w="4590"/>
            <w:tcBorders>
              <w:start w:sz="6.399999999999977" w:val="single" w:color="#DDDDDD"/>
              <w:top w:sz="6.399999999999636" w:val="single" w:color="#DDDDDD"/>
              <w:end w:sz="5.599999999999909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12" w:after="0"/>
              <w:ind w:left="124" w:right="144" w:firstLine="90"/>
              <w:jc w:val="left"/>
            </w:pPr>
            <w:r>
              <w:rPr>
                <w:rFonts w:ascii="Arial" w:hAnsi="Arial" w:eastAsia="Arial"/>
                <w:b/>
                <w:i w:val="0"/>
                <w:color w:val="004085"/>
                <w:sz w:val="16"/>
              </w:rPr>
              <w:t>AI</w:t>
            </w:r>
            <w:r>
              <w:rPr>
                <w:rFonts w:ascii="Arial" w:hAnsi="Arial" w:eastAsia="Arial"/>
                <w:b w:val="0"/>
                <w:i w:val="0"/>
                <w:color w:val="1F4E78"/>
                <w:sz w:val="19"/>
              </w:rPr>
              <w:hyperlink r:id="rId28" w:history="1">
                <w:r>
                  <w:rPr>
                    <w:rStyle w:val="Hyperlink"/>
                  </w:rPr>
                  <w:t xml:space="preserve">A new approach to crystallographic orientation </w:t>
                </w:r>
              </w:hyperlink>
            </w:r>
            <w:r>
              <w:rPr>
                <w:rFonts w:ascii="Arial" w:hAnsi="Arial" w:eastAsia="Arial"/>
                <w:b w:val="0"/>
                <w:i w:val="0"/>
                <w:color w:val="1F4E78"/>
                <w:sz w:val="19"/>
              </w:rPr>
              <w:hyperlink r:id="rId28" w:history="1">
                <w:r>
                  <w:rPr>
                    <w:rStyle w:val="Hyperlink"/>
                  </w:rPr>
                  <w:t xml:space="preserve">measurement for apatite fission track analysis: </w:t>
                </w:r>
              </w:hyperlink>
            </w:r>
            <w:r>
              <w:rPr>
                <w:rFonts w:ascii="Arial" w:hAnsi="Arial" w:eastAsia="Arial"/>
                <w:b w:val="0"/>
                <w:i w:val="0"/>
                <w:color w:val="1F4E78"/>
                <w:sz w:val="19"/>
              </w:rPr>
              <w:hyperlink r:id="rId28" w:history="1">
                <w:r>
                  <w:rPr>
                    <w:rStyle w:val="Hyperlink"/>
                  </w:rPr>
                  <w:t xml:space="preserve">effects of crystal morphology and implications for </w:t>
                </w:r>
              </w:hyperlink>
            </w:r>
            <w:r>
              <w:rPr>
                <w:rFonts w:ascii="Arial" w:hAnsi="Arial" w:eastAsia="Arial"/>
                <w:b w:val="0"/>
                <w:i w:val="0"/>
                <w:color w:val="1F4E78"/>
                <w:sz w:val="19"/>
              </w:rPr>
              <w:hyperlink r:id="rId28" w:history="1">
                <w:r>
                  <w:rPr>
                    <w:rStyle w:val="Hyperlink"/>
                  </w:rPr>
                  <w:t>automation</w:t>
                </w:r>
              </w:hyperlink>
            </w:r>
          </w:p>
        </w:tc>
        <w:tc>
          <w:tcPr>
            <w:tcW w:type="dxa" w:w="2626"/>
            <w:tcBorders>
              <w:start w:sz="5.599999999999909" w:val="single" w:color="#DDDDDD"/>
              <w:top w:sz="6.399999999999636" w:val="single" w:color="#DDDDDD"/>
              <w:end w:sz="6.400000000000091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248" w:after="0"/>
              <w:ind w:left="122" w:right="268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M Peternell, </w:t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F Kohlmann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,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CJL Wilson, C Seiler, AJW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Gleadow</w:t>
            </w:r>
          </w:p>
        </w:tc>
        <w:tc>
          <w:tcPr>
            <w:tcW w:type="dxa" w:w="2040"/>
            <w:tcBorders>
              <w:start w:sz="6.400000000000091" w:val="single" w:color="#DDDDDD"/>
              <w:top w:sz="6.399999999999636" w:val="single" w:color="#DDDDDD"/>
              <w:end w:sz="6.399999999999636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2" w:after="0"/>
              <w:ind w:left="1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Chemical Geology</w:t>
            </w:r>
          </w:p>
        </w:tc>
        <w:tc>
          <w:tcPr>
            <w:tcW w:type="dxa" w:w="1064"/>
            <w:tcBorders>
              <w:start w:sz="6.399999999999636" w:val="single" w:color="#DDDDDD"/>
              <w:top w:sz="6.399999999999636" w:val="single" w:color="#DDDDDD"/>
              <w:end w:sz="6.399999999999636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2" w:after="0"/>
              <w:ind w:left="1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50</w:t>
            </w:r>
          </w:p>
        </w:tc>
      </w:tr>
    </w:tbl>
    <w:p>
      <w:pPr>
        <w:autoSpaceDN w:val="0"/>
        <w:autoSpaceDE w:val="0"/>
        <w:widowControl/>
        <w:spacing w:line="233" w:lineRule="auto" w:before="206" w:after="102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4. Petroleum Geology &amp; Basin Modeling (Saudi Arabia Expertise)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58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466"/>
        </w:trPr>
        <w:tc>
          <w:tcPr>
            <w:tcW w:type="dxa" w:w="674"/>
            <w:tcBorders>
              <w:start w:sz="5.599999999999994" w:val="single" w:color="#DDDDDD"/>
              <w:top w:sz="6.399999999999636" w:val="single" w:color="#DDDDDD"/>
              <w:end w:sz="6.399999999999977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ABABAB"/>
                <w:sz w:val="19"/>
              </w:rPr>
              <w:t>Year</w:t>
            </w:r>
          </w:p>
        </w:tc>
        <w:tc>
          <w:tcPr>
            <w:tcW w:type="dxa" w:w="4546"/>
            <w:tcBorders>
              <w:start w:sz="6.399999999999977" w:val="single" w:color="#DDDDDD"/>
              <w:top w:sz="6.399999999999636" w:val="single" w:color="#DDDDDD"/>
              <w:end w:sz="5.599999999999909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19"/>
              </w:rPr>
              <w:t>Title</w:t>
            </w:r>
          </w:p>
        </w:tc>
        <w:tc>
          <w:tcPr>
            <w:tcW w:type="dxa" w:w="2820"/>
            <w:tcBorders>
              <w:start w:sz="5.599999999999909" w:val="single" w:color="#DDDDDD"/>
              <w:top w:sz="6.399999999999636" w:val="single" w:color="#DDDDDD"/>
              <w:end w:sz="5.599999999999909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19"/>
              </w:rPr>
              <w:t>Authors</w:t>
            </w:r>
          </w:p>
        </w:tc>
        <w:tc>
          <w:tcPr>
            <w:tcW w:type="dxa" w:w="1890"/>
            <w:tcBorders>
              <w:start w:sz="5.599999999999909" w:val="single" w:color="#DDDDDD"/>
              <w:top w:sz="6.399999999999636" w:val="single" w:color="#DDDDDD"/>
              <w:end w:sz="6.399999999999636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19"/>
              </w:rPr>
              <w:t>Journal/Venue</w:t>
            </w:r>
          </w:p>
        </w:tc>
        <w:tc>
          <w:tcPr>
            <w:tcW w:type="dxa" w:w="1064"/>
            <w:tcBorders>
              <w:start w:sz="6.399999999999636" w:val="single" w:color="#DDDDDD"/>
              <w:top w:sz="6.399999999999636" w:val="single" w:color="#DDDDDD"/>
              <w:end w:sz="6.399999999999636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ABABAB"/>
                <w:sz w:val="19"/>
              </w:rPr>
              <w:t>Citations</w:t>
            </w:r>
          </w:p>
        </w:tc>
      </w:tr>
      <w:tr>
        <w:trPr>
          <w:trHeight w:hRule="exact" w:val="700"/>
        </w:trPr>
        <w:tc>
          <w:tcPr>
            <w:tcW w:type="dxa" w:w="674"/>
            <w:tcBorders>
              <w:start w:sz="5.599999999999994" w:val="single" w:color="#DDDDDD"/>
              <w:top w:sz="5.600000000000364" w:val="single" w:color="#DDDDDD"/>
              <w:end w:sz="6.399999999999977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1999</w:t>
            </w:r>
          </w:p>
        </w:tc>
        <w:tc>
          <w:tcPr>
            <w:tcW w:type="dxa" w:w="4546"/>
            <w:tcBorders>
              <w:start w:sz="6.399999999999977" w:val="single" w:color="#DDDDDD"/>
              <w:top w:sz="5.600000000000364" w:val="single" w:color="#DDDDDD"/>
              <w:end w:sz="5.599999999999909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00" w:after="0"/>
              <w:ind w:left="124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F4E78"/>
                <w:sz w:val="19"/>
              </w:rPr>
              <w:hyperlink r:id="rId29" w:history="1">
                <w:r>
                  <w:rPr>
                    <w:rStyle w:val="Hyperlink"/>
                  </w:rPr>
                  <w:t xml:space="preserve">Paleozoic petroleum system of central Saudi </w:t>
                </w:r>
              </w:hyperlink>
            </w:r>
            <w:r>
              <w:rPr>
                <w:rFonts w:ascii="Arial" w:hAnsi="Arial" w:eastAsia="Arial"/>
                <w:b w:val="0"/>
                <w:i w:val="0"/>
                <w:color w:val="1F4E78"/>
                <w:sz w:val="19"/>
              </w:rPr>
              <w:hyperlink r:id="rId29" w:history="1">
                <w:r>
                  <w:rPr>
                    <w:rStyle w:val="Hyperlink"/>
                  </w:rPr>
                  <w:t>Arabia</w:t>
                </w:r>
              </w:hyperlink>
            </w:r>
          </w:p>
        </w:tc>
        <w:tc>
          <w:tcPr>
            <w:tcW w:type="dxa" w:w="2820"/>
            <w:tcBorders>
              <w:start w:sz="5.599999999999909" w:val="single" w:color="#DDDDDD"/>
              <w:top w:sz="5.600000000000364" w:val="single" w:color="#DDDDDD"/>
              <w:end w:sz="5.599999999999909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00" w:after="0"/>
              <w:ind w:left="128" w:right="14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MA Abu-Ali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, JLL Rudkiewicz,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JG McGillivray, F Behar</w:t>
            </w:r>
          </w:p>
        </w:tc>
        <w:tc>
          <w:tcPr>
            <w:tcW w:type="dxa" w:w="1890"/>
            <w:tcBorders>
              <w:start w:sz="5.599999999999909" w:val="single" w:color="#DDDDDD"/>
              <w:top w:sz="5.600000000000364" w:val="single" w:color="#DDDDDD"/>
              <w:end w:sz="6.399999999999636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4" w:after="0"/>
              <w:ind w:left="1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GeoArabia</w:t>
            </w:r>
          </w:p>
        </w:tc>
        <w:tc>
          <w:tcPr>
            <w:tcW w:type="dxa" w:w="1064"/>
            <w:tcBorders>
              <w:start w:sz="6.399999999999636" w:val="single" w:color="#DDDDDD"/>
              <w:top w:sz="5.600000000000364" w:val="single" w:color="#DDDDDD"/>
              <w:end w:sz="6.399999999999636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4" w:after="0"/>
              <w:ind w:left="1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132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338" w:right="0" w:bottom="35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58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990"/>
        </w:trPr>
        <w:tc>
          <w:tcPr>
            <w:tcW w:type="dxa" w:w="674"/>
            <w:tcBorders>
              <w:start w:sz="5.599999999999994" w:val="single" w:color="#DDDDDD"/>
              <w:top w:sz="5.600000000000023" w:val="single" w:color="#DDDDDD"/>
              <w:end w:sz="6.399999999999977" w:val="single" w:color="#DDDDDD"/>
              <w:bottom w:sz="6.39999999999997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5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1994</w:t>
            </w:r>
          </w:p>
        </w:tc>
        <w:tc>
          <w:tcPr>
            <w:tcW w:type="dxa" w:w="4546"/>
            <w:tcBorders>
              <w:start w:sz="6.399999999999977" w:val="single" w:color="#DDDDDD"/>
              <w:top w:sz="5.600000000000023" w:val="single" w:color="#DDDDDD"/>
              <w:end w:sz="5.599999999999909" w:val="single" w:color="#DDDDDD"/>
              <w:bottom w:sz="6.39999999999997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18" w:after="0"/>
              <w:ind w:left="124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F4E78"/>
                <w:sz w:val="19"/>
              </w:rPr>
              <w:hyperlink r:id="rId30" w:history="1">
                <w:r>
                  <w:rPr>
                    <w:rStyle w:val="Hyperlink"/>
                  </w:rPr>
                  <w:t xml:space="preserve">Organic geochemistry of the Paleozoic petroleum </w:t>
                </w:r>
              </w:hyperlink>
            </w:r>
            <w:r>
              <w:rPr>
                <w:rFonts w:ascii="Arial" w:hAnsi="Arial" w:eastAsia="Arial"/>
                <w:b w:val="0"/>
                <w:i w:val="0"/>
                <w:color w:val="1F4E78"/>
                <w:sz w:val="19"/>
              </w:rPr>
              <w:hyperlink r:id="rId30" w:history="1">
                <w:r>
                  <w:rPr>
                    <w:rStyle w:val="Hyperlink"/>
                  </w:rPr>
                  <w:t>system of Saudi Arabia</w:t>
                </w:r>
              </w:hyperlink>
            </w:r>
          </w:p>
        </w:tc>
        <w:tc>
          <w:tcPr>
            <w:tcW w:type="dxa" w:w="2820"/>
            <w:tcBorders>
              <w:start w:sz="5.599999999999909" w:val="single" w:color="#DDDDDD"/>
              <w:top w:sz="5.600000000000023" w:val="single" w:color="#DDDDDD"/>
              <w:end w:sz="5.599999999999909" w:val="single" w:color="#DDDDDD"/>
              <w:bottom w:sz="6.39999999999997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98" w:after="0"/>
              <w:ind w:left="128" w:right="466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GA Cole, </w:t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MA Abu-Ali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, SM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Aoudeh, WJ Carrigan, HH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Chen, EL Colling, et al.</w:t>
            </w:r>
          </w:p>
        </w:tc>
        <w:tc>
          <w:tcPr>
            <w:tcW w:type="dxa" w:w="1890"/>
            <w:tcBorders>
              <w:start w:sz="5.599999999999909" w:val="single" w:color="#DDDDDD"/>
              <w:top w:sz="5.600000000000023" w:val="single" w:color="#DDDDDD"/>
              <w:end w:sz="6.399999999999636" w:val="single" w:color="#DDDDDD"/>
              <w:bottom w:sz="6.39999999999997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18" w:after="0"/>
              <w:ind w:left="120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Energy &amp; Fuels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(ACS)</w:t>
            </w:r>
          </w:p>
        </w:tc>
        <w:tc>
          <w:tcPr>
            <w:tcW w:type="dxa" w:w="1064"/>
            <w:tcBorders>
              <w:start w:sz="6.399999999999636" w:val="single" w:color="#DDDDDD"/>
              <w:top w:sz="5.600000000000023" w:val="single" w:color="#DDDDDD"/>
              <w:end w:sz="6.399999999999636" w:val="single" w:color="#DDDDDD"/>
              <w:bottom w:sz="6.39999999999997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54" w:after="0"/>
              <w:ind w:left="1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125</w:t>
            </w:r>
          </w:p>
        </w:tc>
      </w:tr>
      <w:tr>
        <w:trPr>
          <w:trHeight w:hRule="exact" w:val="992"/>
        </w:trPr>
        <w:tc>
          <w:tcPr>
            <w:tcW w:type="dxa" w:w="674"/>
            <w:tcBorders>
              <w:start w:sz="5.599999999999994" w:val="single" w:color="#DDDDDD"/>
              <w:top w:sz="6.399999999999977" w:val="single" w:color="#DDDDDD"/>
              <w:end w:sz="6.399999999999977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5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2011</w:t>
            </w:r>
          </w:p>
        </w:tc>
        <w:tc>
          <w:tcPr>
            <w:tcW w:type="dxa" w:w="4546"/>
            <w:tcBorders>
              <w:start w:sz="6.399999999999977" w:val="single" w:color="#DDDDDD"/>
              <w:top w:sz="6.399999999999977" w:val="single" w:color="#DDDDDD"/>
              <w:end w:sz="5.599999999999909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98" w:after="0"/>
              <w:ind w:left="124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F4E78"/>
                <w:sz w:val="19"/>
              </w:rPr>
              <w:hyperlink r:id="rId31" w:history="1">
                <w:r>
                  <w:rPr>
                    <w:rStyle w:val="Hyperlink"/>
                  </w:rPr>
                  <w:t xml:space="preserve">Source rock potential of the upper Jurassic-Lower </w:t>
                </w:r>
              </w:hyperlink>
            </w:r>
            <w:r>
              <w:rPr>
                <w:rFonts w:ascii="Arial" w:hAnsi="Arial" w:eastAsia="Arial"/>
                <w:b w:val="0"/>
                <w:i w:val="0"/>
                <w:color w:val="1F4E78"/>
                <w:sz w:val="19"/>
              </w:rPr>
              <w:hyperlink r:id="rId31" w:history="1">
                <w:r>
                  <w:rPr>
                    <w:rStyle w:val="Hyperlink"/>
                  </w:rPr>
                  <w:t xml:space="preserve">Cretaceous succession in the southern </w:t>
                </w:r>
              </w:hyperlink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1F4E78"/>
                <w:sz w:val="19"/>
              </w:rPr>
              <w:hyperlink r:id="rId31" w:history="1">
                <w:r>
                  <w:rPr>
                    <w:rStyle w:val="Hyperlink"/>
                  </w:rPr>
                  <w:t>Mesopotamian basin, southern Iraq</w:t>
                </w:r>
              </w:hyperlink>
            </w:r>
          </w:p>
        </w:tc>
        <w:tc>
          <w:tcPr>
            <w:tcW w:type="dxa" w:w="2820"/>
            <w:tcBorders>
              <w:start w:sz="5.599999999999909" w:val="single" w:color="#DDDDDD"/>
              <w:top w:sz="6.399999999999977" w:val="single" w:color="#DDDDDD"/>
              <w:end w:sz="5.599999999999909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5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Q Abeed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, A Alkhafaji, R Littke</w:t>
            </w:r>
          </w:p>
        </w:tc>
        <w:tc>
          <w:tcPr>
            <w:tcW w:type="dxa" w:w="1890"/>
            <w:tcBorders>
              <w:start w:sz="5.599999999999909" w:val="single" w:color="#DDDDDD"/>
              <w:top w:sz="6.399999999999977" w:val="single" w:color="#DDDDDD"/>
              <w:end w:sz="6.399999999999636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34" w:after="0"/>
              <w:ind w:left="1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Journal of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Petroleum Geology</w:t>
            </w:r>
          </w:p>
        </w:tc>
        <w:tc>
          <w:tcPr>
            <w:tcW w:type="dxa" w:w="1064"/>
            <w:tcBorders>
              <w:start w:sz="6.399999999999636" w:val="single" w:color="#DDDDDD"/>
              <w:top w:sz="6.399999999999977" w:val="single" w:color="#DDDDDD"/>
              <w:end w:sz="6.399999999999636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54" w:after="0"/>
              <w:ind w:left="1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89</w:t>
            </w:r>
          </w:p>
        </w:tc>
      </w:tr>
      <w:tr>
        <w:trPr>
          <w:trHeight w:hRule="exact" w:val="988"/>
        </w:trPr>
        <w:tc>
          <w:tcPr>
            <w:tcW w:type="dxa" w:w="674"/>
            <w:tcBorders>
              <w:start w:sz="5.599999999999994" w:val="single" w:color="#DDDDDD"/>
              <w:top w:sz="5.599999999999909" w:val="single" w:color="#DDDDDD"/>
              <w:end w:sz="6.399999999999977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2012</w:t>
            </w:r>
          </w:p>
        </w:tc>
        <w:tc>
          <w:tcPr>
            <w:tcW w:type="dxa" w:w="4546"/>
            <w:tcBorders>
              <w:start w:sz="6.399999999999977" w:val="single" w:color="#DDDDDD"/>
              <w:top w:sz="5.599999999999909" w:val="single" w:color="#DDDDDD"/>
              <w:end w:sz="5.599999999999909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98" w:after="0"/>
              <w:ind w:left="124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F4E78"/>
                <w:sz w:val="19"/>
              </w:rPr>
              <w:hyperlink r:id="rId32" w:history="1">
                <w:r>
                  <w:rPr>
                    <w:rStyle w:val="Hyperlink"/>
                  </w:rPr>
                  <w:t xml:space="preserve">Geochemistry, origin and correlation of crude oils </w:t>
                </w:r>
              </w:hyperlink>
            </w:r>
            <w:r>
              <w:rPr>
                <w:rFonts w:ascii="Arial" w:hAnsi="Arial" w:eastAsia="Arial"/>
                <w:b w:val="0"/>
                <w:i w:val="0"/>
                <w:color w:val="1F4E78"/>
                <w:sz w:val="19"/>
              </w:rPr>
              <w:hyperlink r:id="rId32" w:history="1">
                <w:r>
                  <w:rPr>
                    <w:rStyle w:val="Hyperlink"/>
                  </w:rPr>
                  <w:t xml:space="preserve">in Lower Cretaceous sedimentary sequences of </w:t>
                </w:r>
              </w:hyperlink>
            </w:r>
            <w:r>
              <w:rPr>
                <w:rFonts w:ascii="Arial" w:hAnsi="Arial" w:eastAsia="Arial"/>
                <w:b w:val="0"/>
                <w:i w:val="0"/>
                <w:color w:val="1F4E78"/>
                <w:sz w:val="19"/>
              </w:rPr>
              <w:hyperlink r:id="rId32" w:history="1">
                <w:r>
                  <w:rPr>
                    <w:rStyle w:val="Hyperlink"/>
                  </w:rPr>
                  <w:t>the southern Mesopotamian Basin, southern Iraq</w:t>
                </w:r>
              </w:hyperlink>
            </w:r>
          </w:p>
        </w:tc>
        <w:tc>
          <w:tcPr>
            <w:tcW w:type="dxa" w:w="2820"/>
            <w:tcBorders>
              <w:start w:sz="5.599999999999909" w:val="single" w:color="#DDDDDD"/>
              <w:top w:sz="5.599999999999909" w:val="single" w:color="#DDDDDD"/>
              <w:end w:sz="5.599999999999909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34" w:after="0"/>
              <w:ind w:left="128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Q Abeed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, D Leythaeuser, R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Littke</w:t>
            </w:r>
          </w:p>
        </w:tc>
        <w:tc>
          <w:tcPr>
            <w:tcW w:type="dxa" w:w="1890"/>
            <w:tcBorders>
              <w:start w:sz="5.599999999999909" w:val="single" w:color="#DDDDDD"/>
              <w:top w:sz="5.599999999999909" w:val="single" w:color="#DDDDDD"/>
              <w:end w:sz="6.399999999999636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34" w:after="0"/>
              <w:ind w:left="120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Organic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Geochemistry</w:t>
            </w:r>
          </w:p>
        </w:tc>
        <w:tc>
          <w:tcPr>
            <w:tcW w:type="dxa" w:w="1064"/>
            <w:tcBorders>
              <w:start w:sz="6.399999999999636" w:val="single" w:color="#DDDDDD"/>
              <w:top w:sz="5.599999999999909" w:val="single" w:color="#DDDDDD"/>
              <w:end w:sz="6.399999999999636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8" w:after="0"/>
              <w:ind w:left="1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83</w:t>
            </w:r>
          </w:p>
        </w:tc>
      </w:tr>
    </w:tbl>
    <w:p>
      <w:pPr>
        <w:autoSpaceDN w:val="0"/>
        <w:autoSpaceDE w:val="0"/>
        <w:widowControl/>
        <w:spacing w:line="233" w:lineRule="auto" w:before="208" w:after="104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5. Environmental Sustainability &amp; Carbon Accounting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58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448"/>
        </w:trPr>
        <w:tc>
          <w:tcPr>
            <w:tcW w:type="dxa" w:w="674"/>
            <w:tcBorders>
              <w:start w:sz="5.599999999999994" w:val="single" w:color="#DDDDDD"/>
              <w:top w:sz="5.599999999999909" w:val="single" w:color="#DDDDDD"/>
              <w:end w:sz="6.399999999999977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ABABAB"/>
                <w:sz w:val="19"/>
              </w:rPr>
              <w:t>Year</w:t>
            </w:r>
          </w:p>
        </w:tc>
        <w:tc>
          <w:tcPr>
            <w:tcW w:type="dxa" w:w="5310"/>
            <w:tcBorders>
              <w:start w:sz="6.399999999999977" w:val="single" w:color="#DDDDDD"/>
              <w:top w:sz="5.599999999999909" w:val="single" w:color="#DDDDDD"/>
              <w:end w:sz="5.599999999999909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19"/>
              </w:rPr>
              <w:t>Title</w:t>
            </w:r>
          </w:p>
        </w:tc>
        <w:tc>
          <w:tcPr>
            <w:tcW w:type="dxa" w:w="2056"/>
            <w:tcBorders>
              <w:start w:sz="5.599999999999909" w:val="single" w:color="#DDDDDD"/>
              <w:top w:sz="5.599999999999909" w:val="single" w:color="#DDDDDD"/>
              <w:end w:sz="5.599999999999909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19"/>
              </w:rPr>
              <w:t>Authors</w:t>
            </w:r>
          </w:p>
        </w:tc>
        <w:tc>
          <w:tcPr>
            <w:tcW w:type="dxa" w:w="1890"/>
            <w:tcBorders>
              <w:start w:sz="5.599999999999909" w:val="single" w:color="#DDDDDD"/>
              <w:top w:sz="5.599999999999909" w:val="single" w:color="#DDDDDD"/>
              <w:end w:sz="6.399999999999636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19"/>
              </w:rPr>
              <w:t>Journal/Venue</w:t>
            </w:r>
          </w:p>
        </w:tc>
        <w:tc>
          <w:tcPr>
            <w:tcW w:type="dxa" w:w="1064"/>
            <w:tcBorders>
              <w:start w:sz="6.399999999999636" w:val="single" w:color="#DDDDDD"/>
              <w:top w:sz="5.599999999999909" w:val="single" w:color="#DDDDDD"/>
              <w:end w:sz="6.399999999999636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ABABAB"/>
                <w:sz w:val="19"/>
              </w:rPr>
              <w:t>Citations</w:t>
            </w:r>
          </w:p>
        </w:tc>
      </w:tr>
      <w:tr>
        <w:trPr>
          <w:trHeight w:hRule="exact" w:val="1006"/>
        </w:trPr>
        <w:tc>
          <w:tcPr>
            <w:tcW w:type="dxa" w:w="674"/>
            <w:tcBorders>
              <w:start w:sz="5.599999999999994" w:val="single" w:color="#DDDDDD"/>
              <w:top w:sz="6.400000000000091" w:val="single" w:color="#DDDDDD"/>
              <w:end w:sz="6.399999999999977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2025</w:t>
            </w:r>
          </w:p>
        </w:tc>
        <w:tc>
          <w:tcPr>
            <w:tcW w:type="dxa" w:w="5310"/>
            <w:tcBorders>
              <w:start w:sz="6.399999999999977" w:val="single" w:color="#DDDDDD"/>
              <w:top w:sz="6.400000000000091" w:val="single" w:color="#DDDDDD"/>
              <w:end w:sz="5.599999999999909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98" w:after="0"/>
              <w:ind w:left="124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DERT (Diagnostic Environmental Reporting Tool): A Global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Relational Data Platform Set to Transform Contamination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Reporting and Environmental Data</w:t>
            </w:r>
          </w:p>
        </w:tc>
        <w:tc>
          <w:tcPr>
            <w:tcW w:type="dxa" w:w="2056"/>
            <w:tcBorders>
              <w:start w:sz="5.599999999999909" w:val="single" w:color="#DDDDDD"/>
              <w:top w:sz="6.400000000000091" w:val="single" w:color="#DDDDDD"/>
              <w:end w:sz="5.599999999999909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98" w:after="0"/>
              <w:ind w:left="114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F Kohlmann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, </w:t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 xml:space="preserve">K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Dimech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, </w:t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W Noble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,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et al.</w:t>
            </w:r>
          </w:p>
        </w:tc>
        <w:tc>
          <w:tcPr>
            <w:tcW w:type="dxa" w:w="1890"/>
            <w:tcBorders>
              <w:start w:sz="5.599999999999909" w:val="single" w:color="#DDDDDD"/>
              <w:top w:sz="6.400000000000091" w:val="single" w:color="#DDDDDD"/>
              <w:end w:sz="6.399999999999636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34" w:after="0"/>
              <w:ind w:left="120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Conference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Presentation</w:t>
            </w:r>
          </w:p>
        </w:tc>
        <w:tc>
          <w:tcPr>
            <w:tcW w:type="dxa" w:w="1064"/>
            <w:tcBorders>
              <w:start w:sz="6.399999999999636" w:val="single" w:color="#DDDDDD"/>
              <w:top w:sz="6.400000000000091" w:val="single" w:color="#DDDDDD"/>
              <w:end w:sz="6.399999999999636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8" w:after="0"/>
              <w:ind w:left="1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0</w:t>
            </w:r>
          </w:p>
        </w:tc>
      </w:tr>
      <w:tr>
        <w:trPr>
          <w:trHeight w:hRule="exact" w:val="990"/>
        </w:trPr>
        <w:tc>
          <w:tcPr>
            <w:tcW w:type="dxa" w:w="674"/>
            <w:tcBorders>
              <w:start w:sz="5.599999999999994" w:val="single" w:color="#DDDDDD"/>
              <w:top w:sz="5.599999999999909" w:val="single" w:color="#DDDDDD"/>
              <w:end w:sz="6.399999999999977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5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2025</w:t>
            </w:r>
          </w:p>
        </w:tc>
        <w:tc>
          <w:tcPr>
            <w:tcW w:type="dxa" w:w="5310"/>
            <w:tcBorders>
              <w:start w:sz="6.399999999999977" w:val="single" w:color="#DDDDDD"/>
              <w:top w:sz="5.599999999999909" w:val="single" w:color="#DDDDDD"/>
              <w:end w:sz="5.599999999999909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100" w:after="0"/>
              <w:ind w:left="124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'PROJECT PATHWAY' TO NET ZERO: SCOPE 3 CARBON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IN WATER CAPITAL PROJECTS FROM TENDER TO AS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BUILT</w:t>
            </w:r>
          </w:p>
        </w:tc>
        <w:tc>
          <w:tcPr>
            <w:tcW w:type="dxa" w:w="2056"/>
            <w:tcBorders>
              <w:start w:sz="5.599999999999909" w:val="single" w:color="#DDDDDD"/>
              <w:top w:sz="5.599999999999909" w:val="single" w:color="#DDDDDD"/>
              <w:end w:sz="5.599999999999909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54" w:after="0"/>
              <w:ind w:left="11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K Dimech</w:t>
            </w:r>
          </w:p>
        </w:tc>
        <w:tc>
          <w:tcPr>
            <w:tcW w:type="dxa" w:w="1890"/>
            <w:tcBorders>
              <w:start w:sz="5.599999999999909" w:val="single" w:color="#DDDDDD"/>
              <w:top w:sz="5.599999999999909" w:val="single" w:color="#DDDDDD"/>
              <w:end w:sz="6.399999999999636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20" w:after="0"/>
              <w:ind w:left="120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IWA World Water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Congress</w:t>
            </w:r>
          </w:p>
        </w:tc>
        <w:tc>
          <w:tcPr>
            <w:tcW w:type="dxa" w:w="1064"/>
            <w:tcBorders>
              <w:start w:sz="6.399999999999636" w:val="single" w:color="#DDDDDD"/>
              <w:top w:sz="5.599999999999909" w:val="single" w:color="#DDDDDD"/>
              <w:end w:sz="6.399999999999636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54" w:after="0"/>
              <w:ind w:left="1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78" w:lineRule="auto" w:before="688" w:after="0"/>
        <w:ind w:left="738" w:right="720" w:firstLine="0"/>
        <w:jc w:val="left"/>
      </w:pPr>
      <w:r>
        <w:rPr>
          <w:rFonts w:ascii="Arial" w:hAnsi="Arial" w:eastAsia="Arial"/>
          <w:b/>
          <w:i w:val="0"/>
          <w:color w:val="10B981"/>
          <w:sz w:val="20"/>
        </w:rPr>
        <w:t>Research Impact Summary: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 Lithodat's team has established international recognition through 87+ peer-reviewed 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publications, 2,000+ citations, and multiple prestigious awards including the IAMG Vistelius Research Award and 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Fulbright Future Scholarship. Our research excellence in AI, geology, and FAIR data systems directly informs our </w:t>
      </w:r>
      <w:r>
        <w:rPr>
          <w:rFonts w:ascii="Arial" w:hAnsi="Arial" w:eastAsia="Arial"/>
          <w:b w:val="0"/>
          <w:i w:val="0"/>
          <w:color w:val="333333"/>
          <w:sz w:val="20"/>
        </w:rPr>
        <w:t>technical approach to building advanced analytics platforms—providing GDAC-SA with a team that combines cutting-</w:t>
      </w:r>
      <w:r>
        <w:rPr>
          <w:rFonts w:ascii="Arial" w:hAnsi="Arial" w:eastAsia="Arial"/>
          <w:b w:val="0"/>
          <w:i w:val="0"/>
          <w:color w:val="333333"/>
          <w:sz w:val="20"/>
        </w:rPr>
        <w:t>edge research expertise with proven implementation experience in national geological data infrastructure.</w:t>
      </w:r>
    </w:p>
    <w:p>
      <w:pPr>
        <w:autoSpaceDN w:val="0"/>
        <w:autoSpaceDE w:val="0"/>
        <w:widowControl/>
        <w:spacing w:line="274" w:lineRule="auto" w:before="740" w:after="0"/>
        <w:ind w:left="452" w:right="8208" w:firstLine="0"/>
        <w:jc w:val="left"/>
      </w:pPr>
      <w:r>
        <w:rPr>
          <w:rFonts w:ascii="Arial" w:hAnsi="Arial" w:eastAsia="Arial"/>
          <w:b/>
          <w:i w:val="0"/>
          <w:color w:val="1F4E78"/>
          <w:sz w:val="18"/>
        </w:rPr>
        <w:t>Lithodat Pty Ltd</w:t>
      </w:r>
      <w:r>
        <w:rPr>
          <w:rFonts w:ascii="Arial" w:hAnsi="Arial" w:eastAsia="Arial"/>
          <w:b w:val="0"/>
          <w:i w:val="0"/>
          <w:color w:val="666666"/>
          <w:sz w:val="18"/>
        </w:rPr>
        <w:t xml:space="preserve"> | ABN: 48 647 191 452 </w:t>
      </w:r>
      <w:r>
        <w:br/>
      </w:r>
      <w:r>
        <w:rPr>
          <w:rFonts w:ascii="Arial" w:hAnsi="Arial" w:eastAsia="Arial"/>
          <w:b w:val="0"/>
          <w:i w:val="0"/>
          <w:color w:val="666666"/>
          <w:sz w:val="18"/>
        </w:rPr>
        <w:t xml:space="preserve">Website: </w:t>
      </w:r>
      <w:r>
        <w:rPr>
          <w:rFonts w:ascii="Arial" w:hAnsi="Arial" w:eastAsia="Arial"/>
          <w:b w:val="0"/>
          <w:i w:val="0"/>
          <w:color w:val="1F4E78"/>
          <w:sz w:val="18"/>
        </w:rPr>
        <w:hyperlink r:id="rId33" w:history="1">
          <w:r>
            <w:rPr>
              <w:rStyle w:val="Hyperlink"/>
            </w:rPr>
            <w:t xml:space="preserve">https://lithodat.com </w:t>
          </w:r>
        </w:hyperlink>
      </w:r>
      <w:r>
        <w:br/>
      </w:r>
      <w:r>
        <w:rPr>
          <w:rFonts w:ascii="Arial" w:hAnsi="Arial" w:eastAsia="Arial"/>
          <w:b w:val="0"/>
          <w:i w:val="0"/>
          <w:color w:val="666666"/>
          <w:sz w:val="18"/>
        </w:rPr>
        <w:t>Publications: research@lithodat.com</w:t>
      </w:r>
    </w:p>
    <w:p>
      <w:pPr>
        <w:autoSpaceDN w:val="0"/>
        <w:autoSpaceDE w:val="0"/>
        <w:widowControl/>
        <w:spacing w:line="264" w:lineRule="auto" w:before="160" w:after="0"/>
        <w:ind w:left="452" w:right="576" w:firstLine="0"/>
        <w:jc w:val="left"/>
      </w:pPr>
      <w:r>
        <w:rPr>
          <w:rFonts w:ascii="Arial" w:hAnsi="Arial" w:eastAsia="Arial"/>
          <w:b w:val="0"/>
          <w:i/>
          <w:color w:val="666666"/>
          <w:sz w:val="18"/>
        </w:rPr>
        <w:t xml:space="preserve">Note: This appendix presents selected highlights from our team's publication record. Full publication lists and detailed CVs for each team </w:t>
      </w:r>
      <w:r>
        <w:rPr>
          <w:rFonts w:ascii="Arial" w:hAnsi="Arial" w:eastAsia="Arial"/>
          <w:b w:val="0"/>
          <w:i/>
          <w:color w:val="666666"/>
          <w:sz w:val="18"/>
        </w:rPr>
        <w:t>member are available upon request. All DOI links are verified and lead to official journal publications.</w:t>
      </w:r>
    </w:p>
    <w:sectPr w:rsidR="00FC693F" w:rsidRPr="0006063C" w:rsidSect="00034616">
      <w:pgSz w:w="11899" w:h="16838"/>
      <w:pgMar w:top="338" w:right="0" w:bottom="144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www.sciencedirect.com/book/9780323908979/fractals-and-multifractals-in-the-geosciences" TargetMode="External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hyperlink" Target="https://doi.org/10.1016/j.oregeorev.2025.106319" TargetMode="External"/><Relationship Id="rId20" Type="http://schemas.openxmlformats.org/officeDocument/2006/relationships/hyperlink" Target="https://doi.org/10.1016/j.oregeorev.2024.106206" TargetMode="External"/><Relationship Id="rId21" Type="http://schemas.openxmlformats.org/officeDocument/2006/relationships/hyperlink" Target="https://doi.org/10.1029/2024TC008362" TargetMode="External"/><Relationship Id="rId22" Type="http://schemas.openxmlformats.org/officeDocument/2006/relationships/hyperlink" Target="https://doi.org/10.1016/j.chemer.2024.126111" TargetMode="External"/><Relationship Id="rId23" Type="http://schemas.openxmlformats.org/officeDocument/2006/relationships/hyperlink" Target="https://doi.org/10.3390/min12060689" TargetMode="External"/><Relationship Id="rId24" Type="http://schemas.openxmlformats.org/officeDocument/2006/relationships/hyperlink" Target="https://doi.org/10.1111/ggr.12419" TargetMode="External"/><Relationship Id="rId25" Type="http://schemas.openxmlformats.org/officeDocument/2006/relationships/hyperlink" Target="https://doi.org/10.1016/j.gca.2023.04.024" TargetMode="External"/><Relationship Id="rId26" Type="http://schemas.openxmlformats.org/officeDocument/2006/relationships/hyperlink" Target="https://doi.org/10.1038/s41598-023-35776-3" TargetMode="External"/><Relationship Id="rId27" Type="http://schemas.openxmlformats.org/officeDocument/2006/relationships/hyperlink" Target="https://doi.org/10.1144/SP390.27" TargetMode="External"/><Relationship Id="rId28" Type="http://schemas.openxmlformats.org/officeDocument/2006/relationships/hyperlink" Target="https://doi.org/10.1016/j.chemgeo.2009.05.021" TargetMode="External"/><Relationship Id="rId29" Type="http://schemas.openxmlformats.org/officeDocument/2006/relationships/hyperlink" Target="https://doi.org/10.2113/geoarabia0403321" TargetMode="External"/><Relationship Id="rId30" Type="http://schemas.openxmlformats.org/officeDocument/2006/relationships/hyperlink" Target="https://doi.org/10.1021/ef00048a034" TargetMode="External"/><Relationship Id="rId31" Type="http://schemas.openxmlformats.org/officeDocument/2006/relationships/hyperlink" Target="https://doi.org/10.1111/j.1747-5457.2011.00497.x" TargetMode="External"/><Relationship Id="rId32" Type="http://schemas.openxmlformats.org/officeDocument/2006/relationships/hyperlink" Target="https://doi.org/10.1016/j.orggeochem.2012.02.007" TargetMode="External"/><Relationship Id="rId33" Type="http://schemas.openxmlformats.org/officeDocument/2006/relationships/hyperlink" Target="https://lithoda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