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R&amp;D Project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for this project:</w:t>
        <w:tab/>
      </w:r>
    </w:p>
    <w:p w:rsidR="00000000" w:rsidDel="00000000" w:rsidP="00000000" w:rsidRDefault="00000000" w:rsidRPr="00000000" w14:paraId="00000005">
      <w:pPr>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Isotopes.au: A National Data Infrastructure for Environmental Isotope Analysis</w:t>
        </w:r>
      </w:hyperlink>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expected duration on this project?</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July 2024  – December 2028</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Experiments:</w:t>
      </w:r>
    </w:p>
    <w:p w:rsidR="00000000" w:rsidDel="00000000" w:rsidP="00000000" w:rsidRDefault="00000000" w:rsidRPr="00000000" w14:paraId="0000000B">
      <w:pPr>
        <w:rPr>
          <w:rFonts w:ascii="Calibri" w:cs="Calibri" w:eastAsia="Calibri" w:hAnsi="Calibri"/>
        </w:rPr>
      </w:pPr>
      <w:hyperlink r:id="rId7">
        <w:r w:rsidDel="00000000" w:rsidR="00000000" w:rsidRPr="00000000">
          <w:rPr>
            <w:rFonts w:ascii="Calibri" w:cs="Calibri" w:eastAsia="Calibri" w:hAnsi="Calibri"/>
            <w:color w:val="0000ee"/>
            <w:u w:val="single"/>
            <w:rtl w:val="0"/>
          </w:rPr>
          <w:t xml:space="preserve">Isotopes_Experiment_Report_001_Adapter_Validation</w:t>
        </w:r>
      </w:hyperlink>
      <w:r w:rsidDel="00000000" w:rsidR="00000000" w:rsidRPr="00000000">
        <w:rPr>
          <w:rtl w:val="0"/>
        </w:rPr>
      </w:r>
    </w:p>
    <w:p w:rsidR="00000000" w:rsidDel="00000000" w:rsidP="00000000" w:rsidRDefault="00000000" w:rsidRPr="00000000" w14:paraId="0000000C">
      <w:pPr>
        <w:rPr>
          <w:rFonts w:ascii="Calibri" w:cs="Calibri" w:eastAsia="Calibri" w:hAnsi="Calibri"/>
        </w:rPr>
      </w:pPr>
      <w:hyperlink r:id="rId8">
        <w:r w:rsidDel="00000000" w:rsidR="00000000" w:rsidRPr="00000000">
          <w:rPr>
            <w:rFonts w:ascii="Calibri" w:cs="Calibri" w:eastAsia="Calibri" w:hAnsi="Calibri"/>
            <w:color w:val="0000ee"/>
            <w:u w:val="single"/>
            <w:rtl w:val="0"/>
          </w:rPr>
          <w:t xml:space="preserve">Isotopes_Experiment_Report_002_Wizard_Benchmarking</w:t>
        </w:r>
      </w:hyperlink>
      <w:r w:rsidDel="00000000" w:rsidR="00000000" w:rsidRPr="00000000">
        <w:rPr>
          <w:rtl w:val="0"/>
        </w:rPr>
      </w:r>
    </w:p>
    <w:p w:rsidR="00000000" w:rsidDel="00000000" w:rsidP="00000000" w:rsidRDefault="00000000" w:rsidRPr="00000000" w14:paraId="0000000D">
      <w:pPr>
        <w:rPr>
          <w:rFonts w:ascii="Calibri" w:cs="Calibri" w:eastAsia="Calibri" w:hAnsi="Calibri"/>
        </w:rPr>
      </w:pPr>
      <w:hyperlink r:id="rId9">
        <w:r w:rsidDel="00000000" w:rsidR="00000000" w:rsidRPr="00000000">
          <w:rPr>
            <w:rFonts w:ascii="Calibri" w:cs="Calibri" w:eastAsia="Calibri" w:hAnsi="Calibri"/>
            <w:color w:val="0000ee"/>
            <w:u w:val="single"/>
            <w:rtl w:val="0"/>
          </w:rPr>
          <w:t xml:space="preserve">Isotopes_Experiment_Report_003_Ontology_Validation</w:t>
        </w:r>
      </w:hyperlink>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much is expected to be spent over the life  of the project?</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00,000</w:t>
      </w: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the objectives of this project?</w:t>
      </w:r>
    </w:p>
    <w:p w:rsidR="00000000" w:rsidDel="00000000" w:rsidP="00000000" w:rsidRDefault="00000000" w:rsidRPr="00000000" w14:paraId="00000014">
      <w:pPr>
        <w:rPr>
          <w:rFonts w:ascii="Tahoma" w:cs="Tahoma" w:eastAsia="Tahoma" w:hAnsi="Tahoma"/>
          <w:b w:val="1"/>
          <w:bCs w:val="1"/>
          <w:color w:val="7f7f7f"/>
          <w:sz w:val="18"/>
          <w:szCs w:val="18"/>
        </w:rPr>
      </w:pPr>
      <w:r w:rsidDel="00000000" w:rsidR="00000000" w:rsidRPr="00000000">
        <w:rPr>
          <w:rtl w:val="0"/>
        </w:rPr>
      </w:r>
    </w:p>
    <w:p w:rsidR="00000000" w:rsidDel="00000000" w:rsidP="00000000" w:rsidRDefault="00000000" w:rsidRPr="00000000" w14:paraId="00000015">
      <w:pPr>
        <w:ind w:left="720" w:firstLine="0"/>
        <w:rPr>
          <w:rFonts w:ascii="Tahoma" w:cs="Tahoma" w:eastAsia="Tahoma" w:hAnsi="Tahoma"/>
          <w:b w:val="1"/>
          <w:bCs w:val="1"/>
          <w:color w:val="7f7f7f"/>
          <w:sz w:val="18"/>
          <w:szCs w:val="18"/>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To develop a national digital platform capable of standardising, ingesting, and querying isotopic data from multiple Australian institutions (e.g. CSIRO, ANSTO, GA, NMI, universities).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To validate a harmonised schema and isotope ontology suitable for environmental science and geochemistry research.</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To enable machine-readable FAIR data publication for isotopic measurements and metadata.</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To support both automated and user-guided data ingestion workflows using adapters and an import wizard.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To reduce duplication, improve interoperability, and support climate, hydrology, soil, and contamination research through streamlined access to isotopic data.</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afafa" w:val="clear"/>
        <w:spacing w:after="280" w:before="0" w:line="240" w:lineRule="auto"/>
        <w:ind w:left="0" w:right="0" w:firstLine="0"/>
        <w:jc w:val="left"/>
        <w:rPr>
          <w:rFonts w:ascii="Calibri" w:cs="Calibri" w:eastAsia="Calibri" w:hAnsi="Calibri"/>
          <w:b w:val="0"/>
          <w:bCs w:val="0"/>
          <w:i w:val="0"/>
          <w:iCs w:val="0"/>
          <w:smallCaps w:val="0"/>
          <w:strike w:val="0"/>
          <w:color w:val="60606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330200</wp:posOffset>
                </wp:positionV>
                <wp:extent cx="6458673" cy="19050"/>
                <wp:effectExtent b="0" l="0" r="0" t="0"/>
                <wp:wrapNone/>
                <wp:docPr id="2" name=""/>
                <a:graphic>
                  <a:graphicData uri="http://schemas.microsoft.com/office/word/2010/wordprocessingShape">
                    <wps:wsp>
                      <wps:cNvCnPr/>
                      <wps:spPr>
                        <a:xfrm>
                          <a:off x="2116664" y="3780000"/>
                          <a:ext cx="6458673"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330200</wp:posOffset>
                </wp:positionV>
                <wp:extent cx="6458673" cy="19050"/>
                <wp:effectExtent b="0" l="0" r="0" t="0"/>
                <wp:wrapNone/>
                <wp:docPr id="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458673" cy="19050"/>
                        </a:xfrm>
                        <a:prstGeom prst="rect"/>
                        <a:ln/>
                      </pic:spPr>
                    </pic:pic>
                  </a:graphicData>
                </a:graphic>
              </wp:anchor>
            </w:drawing>
          </mc:Fallback>
        </mc:AlternateConten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Core Activity</w:t>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for this core activity:</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Schema Validation and Ingestion Framework for Environmental Isotope Data</w:t>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 the start and end dates for this core activity</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July 2024 - June 2025</w:t>
      </w: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your selected income period, what was the estimated expenditure for this core activity?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hyperlink r:id="rId11">
        <w:r w:rsidDel="00000000" w:rsidR="00000000" w:rsidRPr="00000000">
          <w:rPr>
            <w:rFonts w:ascii="Calibri" w:cs="Calibri" w:eastAsia="Calibri" w:hAnsi="Calibri"/>
            <w:color w:val="1155cc"/>
            <w:sz w:val="22"/>
            <w:szCs w:val="22"/>
            <w:u w:val="single"/>
            <w:rtl w:val="0"/>
          </w:rPr>
          <w:t xml:space="preserve">$ </w:t>
        </w:r>
      </w:hyperlink>
      <w:r w:rsidDel="00000000" w:rsidR="00000000" w:rsidRPr="00000000">
        <w:rPr>
          <w:rFonts w:ascii="Calibri" w:cs="Calibri" w:eastAsia="Calibri" w:hAnsi="Calibri"/>
          <w:rtl w:val="0"/>
        </w:rPr>
        <w:t xml:space="preserve">77,298</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was the hypothesis?</w:t>
      </w:r>
    </w:p>
    <w:p w:rsidR="00000000" w:rsidDel="00000000" w:rsidP="00000000" w:rsidRDefault="00000000" w:rsidRPr="00000000" w14:paraId="0000002B">
      <w:pPr>
        <w:rPr/>
      </w:pPr>
      <w:r w:rsidDel="00000000" w:rsidR="00000000" w:rsidRPr="00000000">
        <w:rPr>
          <w:rtl w:val="0"/>
        </w:rPr>
        <w:t xml:space="preserve">\The experiment was carried out to test the feasibility of creating a unified schema and ingestion framework for isotopic data originating from diverse Australian institutions. While individual agencies such as CSIRO, ANSTO, and Geoscience Australia have developed internal databases and vocabularies, no cross-institutional platform existed to collate, validate, and disseminate isotopic data in a FAIR-compliant, machine-readable format.</w:t>
      </w:r>
    </w:p>
    <w:p w:rsidR="00000000" w:rsidDel="00000000" w:rsidP="00000000" w:rsidRDefault="00000000" w:rsidRPr="00000000" w14:paraId="0000002C">
      <w:pPr>
        <w:spacing w:after="240" w:before="240" w:lineRule="auto"/>
        <w:rPr/>
      </w:pPr>
      <w:r w:rsidDel="00000000" w:rsidR="00000000" w:rsidRPr="00000000">
        <w:rPr>
          <w:rtl w:val="0"/>
        </w:rPr>
        <w:t xml:space="preserve">Our </w:t>
      </w:r>
      <w:r w:rsidDel="00000000" w:rsidR="00000000" w:rsidRPr="00000000">
        <w:rPr>
          <w:b w:val="1"/>
          <w:bCs w:val="1"/>
          <w:rtl w:val="0"/>
        </w:rPr>
        <w:t xml:space="preserve">hypothesis</w:t>
      </w:r>
      <w:r w:rsidDel="00000000" w:rsidR="00000000" w:rsidRPr="00000000">
        <w:rPr>
          <w:rtl w:val="0"/>
        </w:rPr>
        <w:t xml:space="preserve"> was that it would be possible to harmonise these diverse data sources—each with its own field conventions, measurement units, and metadata structures—into a single schema that supports programmatic ingestion, querying, and export. We further hypothesised that this could be achieved using a combination of automated adapters, an import wizard, and a carefully designed ontology.</w:t>
      </w:r>
    </w:p>
    <w:p w:rsidR="00000000" w:rsidDel="00000000" w:rsidP="00000000" w:rsidRDefault="00000000" w:rsidRPr="00000000" w14:paraId="0000002D">
      <w:pPr>
        <w:spacing w:after="240" w:before="240" w:lineRule="auto"/>
        <w:rPr/>
      </w:pPr>
      <w:r w:rsidDel="00000000" w:rsidR="00000000" w:rsidRPr="00000000">
        <w:rPr>
          <w:rtl w:val="0"/>
        </w:rPr>
        <w:t xml:space="preserve">Three key experiments were undertaken to test this:</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Adapter Validation</w:t>
      </w:r>
      <w:r w:rsidDel="00000000" w:rsidR="00000000" w:rsidRPr="00000000">
        <w:rPr>
          <w:rtl w:val="0"/>
        </w:rPr>
        <w:t xml:space="preserve">: Testing ingestion of data from six institutional sources through automated adapter pipelines.</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Import Wizard Benchmarking</w:t>
      </w:r>
      <w:r w:rsidDel="00000000" w:rsidR="00000000" w:rsidRPr="00000000">
        <w:rPr>
          <w:rtl w:val="0"/>
        </w:rPr>
        <w:t xml:space="preserve">: Comparing manually guided ingestion via the web-based import wizard to adapter results, including QA/QC and user override logic.</w:t>
        <w:br w:type="textWrapping"/>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b w:val="1"/>
          <w:bCs w:val="1"/>
          <w:rtl w:val="0"/>
        </w:rPr>
        <w:t xml:space="preserve">Ontology Field Testing</w:t>
      </w:r>
      <w:r w:rsidDel="00000000" w:rsidR="00000000" w:rsidRPr="00000000">
        <w:rPr>
          <w:rtl w:val="0"/>
        </w:rPr>
        <w:t xml:space="preserve">: Validating a controlled vocabulary and schema across live datasets and expert review to assess coverage, ambiguity, and extensibility.</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These experiments aimed to answer questions not currently addressed in literature or practice: Is there a technical pathway to unify these data sources without extensive rework by each contributor? Can semantic mismatches be reconciled through vocabulary design and metadata standards? And critically, can a shared platform actually reduce data duplication and unlock environmental insights?</w:t>
      </w:r>
    </w:p>
    <w:p w:rsidR="00000000" w:rsidDel="00000000" w:rsidP="00000000" w:rsidRDefault="00000000" w:rsidRPr="00000000" w14:paraId="00000032">
      <w:pPr>
        <w:spacing w:after="240" w:before="240" w:lineRule="auto"/>
        <w:rPr/>
      </w:pPr>
      <w:r w:rsidDel="00000000" w:rsidR="00000000" w:rsidRPr="00000000">
        <w:rPr>
          <w:rtl w:val="0"/>
        </w:rPr>
        <w:t xml:space="preserve">The </w:t>
      </w:r>
      <w:r w:rsidDel="00000000" w:rsidR="00000000" w:rsidRPr="00000000">
        <w:rPr>
          <w:b w:val="1"/>
          <w:bCs w:val="1"/>
          <w:rtl w:val="0"/>
        </w:rPr>
        <w:t xml:space="preserve">technical risks and uncertainties</w:t>
      </w:r>
      <w:r w:rsidDel="00000000" w:rsidR="00000000" w:rsidRPr="00000000">
        <w:rPr>
          <w:rtl w:val="0"/>
        </w:rPr>
        <w:t xml:space="preserve"> were considerable. We encountered discrepancies in field naming, missing or ambiguous metadata, legacy formats (e.g., PDF tables, Excel without field definitions), and inconsistencies in units of measure. In some cases, such as early trials with university-supplied spreadsheets, ingestion failed due to incomplete contextual metadata, requiring redesign of the wizard validation flow.</w:t>
      </w:r>
    </w:p>
    <w:p w:rsidR="00000000" w:rsidDel="00000000" w:rsidP="00000000" w:rsidRDefault="00000000" w:rsidRPr="00000000" w14:paraId="00000033">
      <w:pPr>
        <w:spacing w:after="240" w:before="240" w:lineRule="auto"/>
        <w:rPr/>
      </w:pPr>
      <w:r w:rsidDel="00000000" w:rsidR="00000000" w:rsidRPr="00000000">
        <w:rPr>
          <w:rtl w:val="0"/>
        </w:rPr>
        <w:t xml:space="preserve">The </w:t>
      </w:r>
      <w:r w:rsidDel="00000000" w:rsidR="00000000" w:rsidRPr="00000000">
        <w:rPr>
          <w:b w:val="1"/>
          <w:bCs w:val="1"/>
          <w:rtl w:val="0"/>
        </w:rPr>
        <w:t xml:space="preserve">knowledge gap</w:t>
      </w:r>
      <w:r w:rsidDel="00000000" w:rsidR="00000000" w:rsidRPr="00000000">
        <w:rPr>
          <w:rtl w:val="0"/>
        </w:rPr>
        <w:t xml:space="preserve"> we addressed lies in the absence of a national-scale, interoperable schema for isotopic data. Existing systems (e.g. https://www.ga.gov.au/data-pubs,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https://www.ansto.gov.au</w:t>
        </w:r>
      </w:hyperlink>
      <w:r w:rsidDel="00000000" w:rsidR="00000000" w:rsidRPr="00000000">
        <w:rPr>
          <w:rtl w:val="0"/>
        </w:rPr>
        <w:t xml:space="preserve">, or CSIRO’s internal isotope systems) are siloed and often not machine-actionable. Our work differs in that it:</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rtl w:val="0"/>
        </w:rPr>
        <w:t xml:space="preserve">Designs for programmatic interoperability from the outset.</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Enables ingestion from both high-trust (institutional) and low-trust (field lab) sources.</w:t>
        <w:br w:type="textWrapping"/>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Embeds FAIR principles and metadata enrichment directly into the ingestion pipeline.</w:t>
        <w:br w:type="textWrapping"/>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Supports scalable, role-based access and downstream export to external systems and researchers.</w:t>
        <w:br w:type="textWrapping"/>
      </w:r>
    </w:p>
    <w:p w:rsidR="00000000" w:rsidDel="00000000" w:rsidP="00000000" w:rsidRDefault="00000000" w:rsidRPr="00000000" w14:paraId="00000038">
      <w:pPr>
        <w:spacing w:after="240" w:before="240" w:lineRule="auto"/>
        <w:rPr/>
      </w:pPr>
      <w:r w:rsidDel="00000000" w:rsidR="00000000" w:rsidRPr="00000000">
        <w:rPr>
          <w:rtl w:val="0"/>
        </w:rPr>
        <w:t xml:space="preserve">By working through structured experimentation and evaluation cycles, this project has generated a pathway to consolidate and reuse national-scale isotopic data, paving the way for new climate, hydrology, and environmental research.</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new knowledge was this core activity intended to produce?</w:t>
      </w:r>
    </w:p>
    <w:p w:rsidR="00000000" w:rsidDel="00000000" w:rsidP="00000000" w:rsidRDefault="00000000" w:rsidRPr="00000000" w14:paraId="0000003C">
      <w:pPr>
        <w:rPr/>
      </w:pPr>
      <w:r w:rsidDel="00000000" w:rsidR="00000000" w:rsidRPr="00000000">
        <w:rPr>
          <w:rtl w:val="0"/>
        </w:rPr>
        <w:t xml:space="preserve">This core activity aimed to generate new knowledge in the development of a national schema and ingestion framework for environmental isotope data. It investigated whether diverse datasets—produced by institutions such as CSIRO, ANSTO, GA, and universities—could be harmonised through a shared ontology, automated ingestion adapters, and metadata validation tools. The experiments addressed unknowns in field equivalency, semantic ambiguity, QA/QC automation, and FAIR metadata completeness. The outcome is a validated, machine-actionable schema that enables cross-agency data integration, supports environmental research, and had not previously been achieved or documented in Australia or internationally.</w:t>
      </w: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did the company determine that the outcome could not be known in advance?</w:t>
      </w:r>
    </w:p>
    <w:p w:rsidR="00000000" w:rsidDel="00000000" w:rsidP="00000000" w:rsidRDefault="00000000" w:rsidRPr="00000000" w14:paraId="00000040">
      <w:pPr>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Select all options that apply.</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There was no applicable information in scientific, technical or professional literature or patents:</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Extensive reviews of data schema repositories, isotope databases, and FAIR implementation literature revealed no published schema or system capable of harmonising Australia’s multi-agency isotope data.</w:t>
      </w:r>
    </w:p>
    <w:p w:rsidR="00000000" w:rsidDel="00000000" w:rsidP="00000000" w:rsidRDefault="00000000" w:rsidRPr="00000000" w14:paraId="00000044">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Experts in the field provided advice that there wasn’t a solution that could be applied:</w:t>
      </w:r>
    </w:p>
    <w:p w:rsidR="00000000" w:rsidDel="00000000" w:rsidP="00000000" w:rsidRDefault="00000000" w:rsidRPr="00000000" w14:paraId="00000045">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Feedback from CSIRO, ANSTO, GA, and academic partners confirmed that existing tools were siloed, incompatible, and lacked a scalable ingestion framework suitable for national integration.</w:t>
      </w:r>
    </w:p>
    <w:p w:rsidR="00000000" w:rsidDel="00000000" w:rsidP="00000000" w:rsidRDefault="00000000" w:rsidRPr="00000000" w14:paraId="00000046">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There wasn’t a way to adapt solutions from other companies in, and out of, Australia:</w:t>
      </w:r>
    </w:p>
    <w:p w:rsidR="00000000" w:rsidDel="00000000" w:rsidP="00000000" w:rsidRDefault="00000000" w:rsidRPr="00000000" w14:paraId="00000047">
      <w:pPr>
        <w:numPr>
          <w:ilvl w:val="0"/>
          <w:numId w:val="7"/>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International platforms (e.g. NASA PDS, EarthChem) were evaluated but found unsuitable due to differing data models, lack of field-level QA controls, and absence of support for Australian metadata standards.</w:t>
      </w:r>
    </w:p>
    <w:p w:rsidR="00000000" w:rsidDel="00000000" w:rsidP="00000000" w:rsidRDefault="00000000" w:rsidRPr="00000000" w14:paraId="0000004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Please explain what sources were investigated, what information was found, and why a competent professional could not have known or determined the outcome in advance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company reviewed scientific literature (e.g. EarthChem, PANGAEA, NASA PDS), conducted internet and schema repository searches (e.g. Schema.org, Research Data Australia), and consulted with technical experts from CSIRO, ANSTO, and Geoscience Australia. While isolated solutions existed, none offered a unified ingestion framework across institutional boundaries. No patents or open-access systems documented schema mappings suitable for environmental isotopes, particularly with QA auditability, FAIR compliance, and Australian metadata standards. Expert consensus confirmed that the interoperability, ingestion, and ontology alignment challenges faced by Isotopes.au could not be resolved using existing tools or prior knowledge, and required systematic experimentation to develop.</w:t>
      </w:r>
      <w:r w:rsidDel="00000000" w:rsidR="00000000" w:rsidRPr="00000000">
        <w:rPr>
          <w:rtl w:val="0"/>
        </w:rPr>
      </w:r>
    </w:p>
    <w:p w:rsidR="00000000" w:rsidDel="00000000" w:rsidP="00000000" w:rsidRDefault="00000000" w:rsidRPr="00000000" w14:paraId="0000004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was the experiment and how did it test the hypothesis?</w:t>
      </w:r>
    </w:p>
    <w:p w:rsidR="00000000" w:rsidDel="00000000" w:rsidP="00000000" w:rsidRDefault="00000000" w:rsidRPr="00000000" w14:paraId="00000052">
      <w:pPr>
        <w:rPr/>
      </w:pPr>
      <w:r w:rsidDel="00000000" w:rsidR="00000000" w:rsidRPr="00000000">
        <w:rPr>
          <w:rtl w:val="0"/>
        </w:rPr>
        <w:t xml:space="preserve"> What was the experiment and how did it test the hypothesis?</w:t>
      </w:r>
    </w:p>
    <w:p w:rsidR="00000000" w:rsidDel="00000000" w:rsidP="00000000" w:rsidRDefault="00000000" w:rsidRPr="00000000" w14:paraId="00000053">
      <w:pPr>
        <w:rPr/>
      </w:pPr>
      <w:r w:rsidDel="00000000" w:rsidR="00000000" w:rsidRPr="00000000">
        <w:rPr>
          <w:rtl w:val="0"/>
        </w:rPr>
        <w:t xml:space="preserve">The hypothesis underpinning this core activity was that environmental isotope data—produced by different institutions across Australia—could be programmatically harmonised into a single ingestion framework using a unified schema, a controlled vocabulary, and a combination of automated and semi-automated tools. The aim was to validate whether such a system could enable national-scale data consolidation, quality assurance, and FAIR-compliant accessibility.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 test this, the company conducted three discrete experiments during the reporting period. Each experiment followed a systematic design, proceeding from technical hypothesis to implementation, observation, and evaluation.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Experiment 1:</w:t>
      </w:r>
    </w:p>
    <w:p w:rsidR="00000000" w:rsidDel="00000000" w:rsidP="00000000" w:rsidRDefault="00000000" w:rsidRPr="00000000" w14:paraId="00000058">
      <w:pPr>
        <w:rPr/>
      </w:pPr>
      <w:r w:rsidDel="00000000" w:rsidR="00000000" w:rsidRPr="00000000">
        <w:rPr>
          <w:rtl w:val="0"/>
        </w:rPr>
        <w:t xml:space="preserve">Tested the feasibility of using automated ingestion adapters to extract and standardise isotope data from multiple institutional sources. The goal was to assess how much of the schema could be populated without human intervention and to identify failure modes.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Experiment 2:</w:t>
      </w:r>
    </w:p>
    <w:p w:rsidR="00000000" w:rsidDel="00000000" w:rsidP="00000000" w:rsidRDefault="00000000" w:rsidRPr="00000000" w14:paraId="0000005B">
      <w:pPr>
        <w:rPr/>
      </w:pPr>
      <w:r w:rsidDel="00000000" w:rsidR="00000000" w:rsidRPr="00000000">
        <w:rPr>
          <w:rtl w:val="0"/>
        </w:rPr>
        <w:t xml:space="preserve">Benchmarked the manual import wizard against automated ingestion tools to evaluate accuracy, metadata quality, and user experience. This experiment focused on QA/QC workflows and the role of human intervention in resolving ambiguous or incomplete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Experiment 3:</w:t>
      </w:r>
    </w:p>
    <w:p w:rsidR="00000000" w:rsidDel="00000000" w:rsidP="00000000" w:rsidRDefault="00000000" w:rsidRPr="00000000" w14:paraId="0000005E">
      <w:pPr>
        <w:rPr/>
      </w:pPr>
      <w:r w:rsidDel="00000000" w:rsidR="00000000" w:rsidRPr="00000000">
        <w:rPr>
          <w:rtl w:val="0"/>
        </w:rPr>
        <w:t xml:space="preserve">Validated the proposed isotope ontology and schema by comparing it to real-world datasets and expert expectations. This experiment tested semantic alignment, field coverage, and the extensibility of the controlled vocabulary.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results of these experiments are detailed in the corresponding experiment reports: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8"/>
        </w:numPr>
        <w:ind w:left="720" w:hanging="360"/>
        <w:rPr>
          <w:u w:val="none"/>
        </w:rPr>
      </w:pPr>
      <w:r w:rsidDel="00000000" w:rsidR="00000000" w:rsidRPr="00000000">
        <w:rPr>
          <w:rtl w:val="0"/>
        </w:rPr>
        <w:t xml:space="preserve">Isotopes_Experiment_Report_001_Adapter_Ingestion.docx</w:t>
      </w:r>
    </w:p>
    <w:p w:rsidR="00000000" w:rsidDel="00000000" w:rsidP="00000000" w:rsidRDefault="00000000" w:rsidRPr="00000000" w14:paraId="00000063">
      <w:pPr>
        <w:numPr>
          <w:ilvl w:val="0"/>
          <w:numId w:val="8"/>
        </w:numPr>
        <w:ind w:left="720" w:hanging="360"/>
        <w:rPr>
          <w:u w:val="none"/>
        </w:rPr>
      </w:pPr>
      <w:r w:rsidDel="00000000" w:rsidR="00000000" w:rsidRPr="00000000">
        <w:rPr>
          <w:rtl w:val="0"/>
        </w:rPr>
        <w:t xml:space="preserve">Isotopes_Experiment_Report_002_Wizard_Benchmarking.docx</w:t>
      </w:r>
    </w:p>
    <w:p w:rsidR="00000000" w:rsidDel="00000000" w:rsidP="00000000" w:rsidRDefault="00000000" w:rsidRPr="00000000" w14:paraId="00000064">
      <w:pPr>
        <w:numPr>
          <w:ilvl w:val="0"/>
          <w:numId w:val="8"/>
        </w:numPr>
        <w:ind w:left="720" w:hanging="360"/>
        <w:rPr>
          <w:u w:val="none"/>
        </w:rPr>
      </w:pPr>
      <w:r w:rsidDel="00000000" w:rsidR="00000000" w:rsidRPr="00000000">
        <w:rPr>
          <w:rtl w:val="0"/>
        </w:rPr>
        <w:t xml:space="preserve">Isotopes_Experiment_Report_003_Ontology_Validation.docx</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Each report includes structured analysis, evaluation criteria, and findings that confirm or challenge specific components of the ingestion system design.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Although the hypothesis was generally supported, the experiments also revealed important limitations and risks that must be addressed in future work—particularly in handling unstructured datasets, ensuring ontology consensus, and maintaining schema integrity over time.</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did you evaluate or plan to evaluate results from you experiment?</w:t>
      </w:r>
    </w:p>
    <w:p w:rsidR="00000000" w:rsidDel="00000000" w:rsidP="00000000" w:rsidRDefault="00000000" w:rsidRPr="00000000" w14:paraId="0000006B">
      <w:pPr>
        <w:rPr/>
      </w:pPr>
      <w:r w:rsidDel="00000000" w:rsidR="00000000" w:rsidRPr="00000000">
        <w:rPr>
          <w:rtl w:val="0"/>
        </w:rPr>
        <w:t xml:space="preserve">Each experiment was evaluated using a combination of quantitative metrics, qualitative analysis, and structured observation logs. The evaluation process was aligned with the project’s central hypothesis and designed to uncover causal relationships between data quality, ingestion mode, ontology alignment, and schema performance.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For Experiment 1 (Adapter Ingestion), evaluation focused on schema coverage, row acceptance/rejection rates, and metadata completeness before and after ingestion. Controlled variables included source institution, data format, and adapter configuration, while observed outcomes included ingestion success rate, field mapping accuracy, and QA flag frequency. Results were recorded in structured QA/QC logs and verified through manual cross-checking.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Experiment 2 (Wizard Benchmarking), evaluation compared user performance across ingestion methods by measuring time-to-ingest, number of manual corrections, and final metadata score (based on FAIR principles). Multiple users were tested across different dataset types to account for variability. Usability feedback and ingestion performance metrics were compiled and analysed to refine the tool and identify where human-in-the-loop correction was most valuable.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Experiment 3 (Ontology Validation), evaluation was based on the percentage of fields from institutional datasets that could be semantically aligned with the proposed ontology. Discrepancies were documented, categorised (e.g. ambiguous, missing, redundant), and reviewed by subject-matter experts. This process identified gaps in the schema design and led to improvements in term coverage, hierarchy depth, and attribute granularity.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All results were documented in dedicated experiment reports, including screenshots, field mapping tables, and Jira logs. Evaluation was also guided by project success criteria established at the outset: ingestion coverage, metadata enrichment, and schema extensibility across six data sources. Where results deviated from expectations, hypotheses were revised and additional validations planned.</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If you reached conclusions from your experiments in the selected income period, describe those conclusions.</w:t>
      </w:r>
    </w:p>
    <w:p w:rsidR="00000000" w:rsidDel="00000000" w:rsidP="00000000" w:rsidRDefault="00000000" w:rsidRPr="00000000" w14:paraId="00000077">
      <w:pPr>
        <w:rPr/>
      </w:pPr>
      <w:r w:rsidDel="00000000" w:rsidR="00000000" w:rsidRPr="00000000">
        <w:rPr>
          <w:rtl w:val="0"/>
        </w:rPr>
        <w:t xml:space="preserve">The experiments conducted during this reporting period confirmed the feasibility of building a unified ingestion and schema framework for environmental isotope data across multiple Australian institutions. The outcomes supported the original hypothesis: that it is possible to standardise and centralise isotope data via a combination of automated adapters, a controlled vocabulary, and human-in-the-loop validation tools.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Key conclusions drawn from the experiments include: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 hybrid ingestion model is essential. While automated adapters work well for structured datasets from national institutions (e.g. CSIRO, GA, ANSTO), semi-structured and legacy datasets still require manual oversight via wizard interfaces. This dual-mode system accommodates both institutional and ad hoc sources, ensuring wider applicability.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national schema is achievable, but ontology gaps remain. The unified schema covered most field requirements across tested datasets; however, edge cases emerged—such as varying QA/QC standards, incomplete provenance chains, and inconsistent unit notations—which highlight the need for a national controlled vocabulary and ongoing ontology refinement.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User experience and quality assurance processes are critical. The ingestion process revealed common points of user error and metadata misalignment, validating the need for built-in QA tools, validation prompts, and schema feedback within the interface. These usability insights are shaping interface redesign efforts.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Business use cases have emerged. As a byproduct of the technical experiments, several practical applications have been identified. These include: direct integration with analytical labs for live upload of isotope measurements, regulatory reporting tools for environmental agencies, and the ability to cross-reference isotopic datasets with other environmental geochemistry and hydrology platforms.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hypothesis is valid but not exhaustive. While results supported the core hypothesis, they also uncovered new technical risks and opportunities. These include schema drift from upstream changes, version control challenges, and the need for distributed governance over vocabularies. As a result, future R&amp;D will include adaptive schema versioning and ontology lifecycle management.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work fills a national gap. There is currently no centralised system in Australia capable of harmonising and storing environmental isotope data at scale. International schemas (e.g. EarthChem, PANGAEA) lack the flexibility and Australian-specific conventions required for this purpose. Isotopes.au is positioned to fill this gap and provide national infrastructure for research, regulation, and industry.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Conclusion:</w:t>
      </w:r>
    </w:p>
    <w:p w:rsidR="00000000" w:rsidDel="00000000" w:rsidP="00000000" w:rsidRDefault="00000000" w:rsidRPr="00000000" w14:paraId="00000088">
      <w:pPr>
        <w:rPr/>
      </w:pPr>
      <w:r w:rsidDel="00000000" w:rsidR="00000000" w:rsidRPr="00000000">
        <w:rPr>
          <w:rtl w:val="0"/>
        </w:rPr>
        <w:t xml:space="preserve">The experiments support continued development of Isotopes.au as a viable, scalable data infrastructure. Further development will focus on improving automated ingestion success rates, extending the ontology, and refining FAIR metadata compliance tools. These next steps will build on the validated foundations established through this year’s core R&amp;D 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evidence did the company keep about this core activity?</w:t>
      </w:r>
    </w:p>
    <w:p w:rsidR="00000000" w:rsidDel="00000000" w:rsidP="00000000" w:rsidRDefault="00000000" w:rsidRPr="00000000" w14:paraId="0000008B">
      <w:pPr>
        <w:rPr>
          <w:rFonts w:ascii="Calibri" w:cs="Calibri" w:eastAsia="Calibri" w:hAnsi="Calibri"/>
          <w:b w:val="1"/>
          <w:bCs w:val="1"/>
          <w:color w:val="7f7f7f"/>
          <w:sz w:val="18"/>
          <w:szCs w:val="18"/>
        </w:rPr>
      </w:pPr>
      <w:r w:rsidDel="00000000" w:rsidR="00000000" w:rsidRPr="00000000">
        <w:rPr>
          <w:rFonts w:ascii="Calibri" w:cs="Calibri" w:eastAsia="Calibri" w:hAnsi="Calibri"/>
          <w:b w:val="1"/>
          <w:bCs w:val="1"/>
          <w:color w:val="7f7f7f"/>
          <w:sz w:val="18"/>
          <w:szCs w:val="18"/>
          <w:rtl w:val="0"/>
        </w:rPr>
        <w:t xml:space="preserve">Select all that apply.</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ind w:left="0" w:firstLine="0"/>
        <w:rPr>
          <w:rFonts w:ascii="Calibri" w:cs="Calibri" w:eastAsia="Calibri" w:hAnsi="Calibri"/>
        </w:rPr>
      </w:pPr>
      <w:r w:rsidDel="00000000" w:rsidR="00000000" w:rsidRPr="00000000">
        <w:rPr>
          <w:rFonts w:ascii="Calibri" w:cs="Calibri" w:eastAsia="Calibri" w:hAnsi="Calibri"/>
          <w:rtl w:val="0"/>
        </w:rPr>
        <w:t xml:space="preserve">Evidence of searches or enquiries you made to find current knowledge</w:t>
      </w:r>
    </w:p>
    <w:p w:rsidR="00000000" w:rsidDel="00000000" w:rsidP="00000000" w:rsidRDefault="00000000" w:rsidRPr="00000000" w14:paraId="0000008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The company retained records of literature reviews, ontology comparisons, schema evaluations, and expert consultations (including CSIRO, GA, ANSTO) demonstrating the lack of a national ingestion framework for isotope data in Australia.</w:t>
      </w:r>
    </w:p>
    <w:p w:rsidR="00000000" w:rsidDel="00000000" w:rsidP="00000000" w:rsidRDefault="00000000" w:rsidRPr="00000000" w14:paraId="0000008F">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rPr>
      </w:pPr>
      <w:r w:rsidDel="00000000" w:rsidR="00000000" w:rsidRPr="00000000">
        <w:rPr>
          <w:rFonts w:ascii="Calibri" w:cs="Calibri" w:eastAsia="Calibri" w:hAnsi="Calibri"/>
          <w:rtl w:val="0"/>
        </w:rPr>
        <w:t xml:space="preserve">Evidence to show that you could only determine the outcome of the core activity by conducting experiments as part of a systematic progression of work</w:t>
      </w:r>
    </w:p>
    <w:p w:rsidR="00000000" w:rsidDel="00000000" w:rsidP="00000000" w:rsidRDefault="00000000" w:rsidRPr="00000000" w14:paraId="0000009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Structured experiment reports, QA logs, Jira issue tracking, Git commit history, and API test results were maintained to demonstrate that outcomes could only be achieved through methodical testing and iteration.</w:t>
      </w:r>
    </w:p>
    <w:p w:rsidR="00000000" w:rsidDel="00000000" w:rsidP="00000000" w:rsidRDefault="00000000" w:rsidRPr="00000000" w14:paraId="00000092">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3">
      <w:pPr>
        <w:ind w:left="0" w:firstLine="0"/>
        <w:rPr>
          <w:rFonts w:ascii="Calibri" w:cs="Calibri" w:eastAsia="Calibri" w:hAnsi="Calibri"/>
        </w:rPr>
      </w:pPr>
      <w:r w:rsidDel="00000000" w:rsidR="00000000" w:rsidRPr="00000000">
        <w:rPr>
          <w:rFonts w:ascii="Calibri" w:cs="Calibri" w:eastAsia="Calibri" w:hAnsi="Calibri"/>
          <w:rtl w:val="0"/>
        </w:rPr>
        <w:t xml:space="preserve">Evidence of your hypothesis and design of your experiments</w:t>
      </w:r>
    </w:p>
    <w:p w:rsidR="00000000" w:rsidDel="00000000" w:rsidP="00000000" w:rsidRDefault="00000000" w:rsidRPr="00000000" w14:paraId="0000009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Each experiment followed a formal R&amp;D template and documented the initial hypothesis, methodology, variables, and success criteria.</w:t>
      </w:r>
    </w:p>
    <w:p w:rsidR="00000000" w:rsidDel="00000000" w:rsidP="00000000" w:rsidRDefault="00000000" w:rsidRPr="00000000" w14:paraId="0000009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Documented results and evaluation of your experiments</w:t>
      </w:r>
    </w:p>
    <w:p w:rsidR="00000000" w:rsidDel="00000000" w:rsidP="00000000" w:rsidRDefault="00000000" w:rsidRPr="00000000" w14:paraId="00000096">
      <w:pPr>
        <w:ind w:left="0" w:firstLine="0"/>
        <w:rPr>
          <w:rFonts w:ascii="Calibri" w:cs="Calibri" w:eastAsia="Calibri" w:hAnsi="Calibri"/>
        </w:rPr>
      </w:pPr>
      <w:r w:rsidDel="00000000" w:rsidR="00000000" w:rsidRPr="00000000">
        <w:rPr>
          <w:rFonts w:ascii="Calibri" w:cs="Calibri" w:eastAsia="Calibri" w:hAnsi="Calibri"/>
          <w:rtl w:val="0"/>
        </w:rPr>
        <w:t xml:space="preserve">Results were captured in experiment reports, FAIR compliance audits, QA dashboards, and metadata scoring summaries. Supplementary evidence includes ingestion output files and structured feedback from internal testing.</w:t>
      </w: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sectPr>
      <w:headerReference r:id="rId14" w:type="default"/>
      <w:footerReference r:id="rId15" w:type="default"/>
      <w:pgSz w:h="16840" w:w="11900" w:orient="portrait"/>
      <w:pgMar w:bottom="1440" w:top="1440" w:left="1417.3228346456694"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4688087</wp:posOffset>
          </wp:positionH>
          <wp:positionV relativeFrom="paragraph">
            <wp:posOffset>-196761</wp:posOffset>
          </wp:positionV>
          <wp:extent cx="1412111" cy="72886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12111" cy="72886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posOffset>315913</wp:posOffset>
              </wp:positionV>
              <wp:extent cx="923925" cy="292989"/>
              <wp:effectExtent b="0" l="0" r="0" t="0"/>
              <wp:wrapNone/>
              <wp:docPr id="1" name="" title="Document Title"/>
              <a:graphic>
                <a:graphicData uri="http://schemas.microsoft.com/office/word/2010/wordprocessingShape">
                  <wps:wsp>
                    <wps:cNvSpPr/>
                    <wps:cNvPr id="2" name="Shape 2"/>
                    <wps:spPr>
                      <a:xfrm>
                        <a:off x="4888800" y="3638268"/>
                        <a:ext cx="914400" cy="283464"/>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1"/>
                              <w:strike w:val="0"/>
                              <w:color w:val="000000"/>
                              <w:sz w:val="28"/>
                              <w:vertAlign w:val="baseline"/>
                            </w:rPr>
                            <w:t xml:space="preserve">RJED CONSULTING PTY LTD R&amp;D PROJECT REPORT</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posOffset>315913</wp:posOffset>
              </wp:positionV>
              <wp:extent cx="923925" cy="292989"/>
              <wp:effectExtent b="0" l="0" r="0" t="0"/>
              <wp:wrapNone/>
              <wp:docPr descr="Document Title" id="1" name="image2.png"/>
              <a:graphic>
                <a:graphicData uri="http://schemas.openxmlformats.org/drawingml/2006/picture">
                  <pic:pic>
                    <pic:nvPicPr>
                      <pic:cNvPr descr="Document Title" id="0" name="image2.png"/>
                      <pic:cNvPicPr preferRelativeResize="0"/>
                    </pic:nvPicPr>
                    <pic:blipFill>
                      <a:blip r:embed="rId1"/>
                      <a:srcRect/>
                      <a:stretch>
                        <a:fillRect/>
                      </a:stretch>
                    </pic:blipFill>
                    <pic:spPr>
                      <a:xfrm>
                        <a:off x="0" y="0"/>
                        <a:ext cx="923925" cy="2929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zXV1AYENtHeUefq32I5MJbqkdGBeVpu96f0Aty1Xaw0/edit?gid=823047920#gid=823047920" TargetMode="External"/><Relationship Id="rId10" Type="http://schemas.openxmlformats.org/officeDocument/2006/relationships/image" Target="media/image2.png"/><Relationship Id="rId13" Type="http://schemas.openxmlformats.org/officeDocument/2006/relationships/hyperlink" Target="https://www.ansto.gov.au" TargetMode="External"/><Relationship Id="rId12" Type="http://schemas.openxmlformats.org/officeDocument/2006/relationships/hyperlink" Target="https://www.ansto.gov.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0TtFQTDA-e5C5WPxYWE-dHBfRu9EHCbbwskez-k1cQ/edit?usp=drive_link"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isotopes.au" TargetMode="External"/><Relationship Id="rId7" Type="http://schemas.openxmlformats.org/officeDocument/2006/relationships/hyperlink" Target="https://docs.google.com/document/d/1JDYinFH3TSMdbvVeBCTU1izgKtpVOQ8c8mp9fB2NSyM/edit?usp=drive_link" TargetMode="External"/><Relationship Id="rId8" Type="http://schemas.openxmlformats.org/officeDocument/2006/relationships/hyperlink" Target="https://docs.google.com/document/d/1CQjSzyOO_ae6vyGe6nb8Dpp9hSFD8sgijoDPLQCxoNo/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