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</w:rPr>
        <w:drawing>
          <wp:inline distB="0" distT="0" distL="0" distR="0">
            <wp:extent cx="5919236" cy="1153534"/>
            <wp:effectExtent b="0" l="0" r="0" t="0"/>
            <wp:docPr descr="Lithodat Logo" id="2" name="image1.png"/>
            <a:graphic>
              <a:graphicData uri="http://schemas.openxmlformats.org/drawingml/2006/picture">
                <pic:pic>
                  <pic:nvPicPr>
                    <pic:cNvPr descr="Lithodat Logo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9236" cy="11535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1"/>
        <w:spacing w:after="400" w:before="400" w:lineRule="auto"/>
        <w:jc w:val="center"/>
        <w:rPr>
          <w:rFonts w:ascii="Arial" w:cs="Arial" w:eastAsia="Arial" w:hAnsi="Arial"/>
          <w:b w:val="1"/>
          <w:bCs w:val="1"/>
          <w:color w:val="1f4e78"/>
          <w:sz w:val="48"/>
          <w:szCs w:val="4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48"/>
          <w:szCs w:val="48"/>
          <w:rtl w:val="0"/>
        </w:rPr>
        <w:t xml:space="preserve">Quality Management System</w:t>
        <w:br w:type="textWrapping"/>
        <w:t xml:space="preserve">(QMS) Policy</w:t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Digital-First Workplace Standards</w:t>
      </w:r>
    </w:p>
    <w:p w:rsidR="00000000" w:rsidDel="00000000" w:rsidP="00000000" w:rsidRDefault="00000000" w:rsidRPr="00000000" w14:paraId="00000004">
      <w:pPr>
        <w:jc w:val="center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Arial" w:cs="Arial" w:eastAsia="Arial" w:hAnsi="Arial"/>
          <w:color w:val="666666"/>
        </w:rPr>
      </w:pPr>
      <w:r w:rsidDel="00000000" w:rsidR="00000000" w:rsidRPr="00000000">
        <w:rPr>
          <w:rFonts w:ascii="Arial" w:cs="Arial" w:eastAsia="Arial" w:hAnsi="Arial"/>
          <w:color w:val="666666"/>
          <w:rtl w:val="0"/>
        </w:rPr>
        <w:t xml:space="preserve">Lithodat Pty Ltd</w:t>
        <w:br w:type="textWrapping"/>
        <w:t xml:space="preserve">ABN: 48 647 191 452</w:t>
        <w:br w:type="textWrapping"/>
        <w:t xml:space="preserve">December 2024 </w:t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  <w:b w:val="1"/>
          <w:bCs w:val="1"/>
          <w:color w:val="1f4e78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Quality Management System (QMS)</w:t>
      </w:r>
    </w:p>
    <w:p w:rsidR="00000000" w:rsidDel="00000000" w:rsidP="00000000" w:rsidRDefault="00000000" w:rsidRPr="00000000" w14:paraId="00000008">
      <w:pPr>
        <w:pStyle w:val="Heading2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Policy Overview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Lithodat is committed to delivering scientifically accurate geoscience data platforms. Our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8"/>
          <w:sz w:val="22"/>
          <w:szCs w:val="22"/>
          <w:u w:val="none"/>
          <w:shd w:fill="auto" w:val="clear"/>
          <w:vertAlign w:val="baseline"/>
          <w:rtl w:val="0"/>
        </w:rPr>
        <w:t xml:space="preserve">"Geology First"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approach ensures that data models and platform features are designed and validated by qualified geologists. This policy outlines our practical approach to data integrity, software testing, and scientific stewardship. </w:t>
      </w:r>
    </w:p>
    <w:p w:rsidR="00000000" w:rsidDel="00000000" w:rsidP="00000000" w:rsidRDefault="00000000" w:rsidRPr="00000000" w14:paraId="0000000A">
      <w:pPr>
        <w:pStyle w:val="Heading2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 The "Geology First" Quality Principle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core of our quality system is the integration of domain expertise into every stage of development. We ensure that: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120" w:before="280" w:lineRule="auto"/>
        <w:ind w:left="1120" w:hanging="360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22"/>
          <w:szCs w:val="22"/>
          <w:rtl w:val="0"/>
        </w:rPr>
        <w:t xml:space="preserve">Scientifically Sound Data Models: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Data structures are designed by geologists (not just developers) to ensure they reflect real-world geological relationships.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120" w:before="0" w:lineRule="auto"/>
        <w:ind w:left="1120" w:hanging="360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22"/>
          <w:szCs w:val="22"/>
          <w:rtl w:val="0"/>
        </w:rPr>
        <w:t xml:space="preserve">Expert Validation: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Our team of geologists manually and programmatically validates data to ensure scientific accuracy.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120" w:before="0" w:lineRule="auto"/>
        <w:ind w:left="1120" w:hanging="360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22"/>
          <w:szCs w:val="22"/>
          <w:rtl w:val="0"/>
        </w:rPr>
        <w:t xml:space="preserve">Geological AI: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Machine Learning workflows are reviewed by our AI team to ensure that automated outputs remain geologically plausible. </w:t>
      </w:r>
    </w:p>
    <w:p w:rsidR="00000000" w:rsidDel="00000000" w:rsidP="00000000" w:rsidRDefault="00000000" w:rsidRPr="00000000" w14:paraId="0000000F">
      <w:pPr>
        <w:pStyle w:val="Heading2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 Practical Data Quality &amp; QA/QC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apply rigorous checks to ensure the data hosted on our platforms is of the highest possible quality: 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120" w:before="280" w:lineRule="auto"/>
        <w:ind w:left="1120" w:hanging="360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22"/>
          <w:szCs w:val="22"/>
          <w:rtl w:val="0"/>
        </w:rPr>
        <w:t xml:space="preserve">Schema Validation: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Mandatory enforcement of controlled vocabularies (e.g., CGI/OGC standards, EarthBank and Isotopes.au ARDC ontologies) to prevent "dirty data" from entering the system. 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120" w:before="0" w:lineRule="auto"/>
        <w:ind w:left="1120" w:hanging="360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22"/>
          <w:szCs w:val="22"/>
          <w:rtl w:val="0"/>
        </w:rPr>
        <w:t xml:space="preserve">Automated Logical Checks: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We use scripts to identify scientific inconsistencies (e.g., an analytical age that is geologically impossible given the stratigraphic context). 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120" w:before="0" w:lineRule="auto"/>
        <w:ind w:left="1120" w:hanging="360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22"/>
          <w:szCs w:val="22"/>
          <w:rtl w:val="0"/>
        </w:rPr>
        <w:t xml:space="preserve">Provenance Tracking: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Every record includes metadata that traces the data back to its original laboratory source or publication, ensuring scientific accountability. </w:t>
      </w:r>
    </w:p>
    <w:p w:rsidR="00000000" w:rsidDel="00000000" w:rsidP="00000000" w:rsidRDefault="00000000" w:rsidRPr="00000000" w14:paraId="00000014">
      <w:pPr>
        <w:pStyle w:val="Heading2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 Software Testing &amp; Development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ensure platform reliability, we follow a consistent internal development process: 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120" w:before="280" w:lineRule="auto"/>
        <w:ind w:left="1120" w:hanging="360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22"/>
          <w:szCs w:val="22"/>
          <w:rtl w:val="0"/>
        </w:rPr>
        <w:t xml:space="preserve">Peer Review: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No code is deployed to our platforms without being reviewed by a second developer to catch errors and security flaws. 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120" w:before="0" w:lineRule="auto"/>
        <w:ind w:left="1120" w:hanging="360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22"/>
          <w:szCs w:val="22"/>
          <w:rtl w:val="0"/>
        </w:rPr>
        <w:t xml:space="preserve">Environment Separation: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We test all new features in a "Staging" environment before they are released to users (e.g., on EarthBank or Isotopes.au). 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120" w:before="0" w:lineRule="auto"/>
        <w:ind w:left="1120" w:hanging="360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22"/>
          <w:szCs w:val="22"/>
          <w:rtl w:val="0"/>
        </w:rPr>
        <w:t xml:space="preserve">User Feedback Loops: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We work directly with acedmic partners to test tools in real-world scenarios before full deployment. </w:t>
      </w:r>
    </w:p>
    <w:p w:rsidR="00000000" w:rsidDel="00000000" w:rsidP="00000000" w:rsidRDefault="00000000" w:rsidRPr="00000000" w14:paraId="00000019">
      <w:pPr>
        <w:pStyle w:val="Heading2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 International Recognition &amp; Certifications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Lithodat maintains external validation for our data stewardship through: 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120" w:before="280" w:lineRule="auto"/>
        <w:ind w:left="1120" w:hanging="360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22"/>
          <w:szCs w:val="22"/>
          <w:rtl w:val="0"/>
        </w:rPr>
        <w:t xml:space="preserve">CoreTrustSeal (CTS) Certification: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EarthBank is officially certified as a Trusted Scientific Repository. This independently validates our long-term data stewardship and QA/QC systems. 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120" w:before="0" w:lineRule="auto"/>
        <w:ind w:left="1120" w:hanging="360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22"/>
          <w:szCs w:val="22"/>
          <w:rtl w:val="0"/>
        </w:rPr>
        <w:t xml:space="preserve">World Data System (WDS) Membership: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As a Regular Member of the WDS (International Science Council), we comply with global standards for scientific data infrastructure. 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120" w:before="0" w:lineRule="auto"/>
        <w:ind w:left="1120" w:hanging="360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22"/>
          <w:szCs w:val="22"/>
          <w:rtl w:val="0"/>
        </w:rPr>
        <w:t xml:space="preserve">AWS Infrastructure: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While Lithodat manages its own application security, we host our services on AWS to benefit from their world-class physical security and high-availability infrastructure. </w:t>
      </w:r>
    </w:p>
    <w:p w:rsidR="00000000" w:rsidDel="00000000" w:rsidP="00000000" w:rsidRDefault="00000000" w:rsidRPr="00000000" w14:paraId="0000001E">
      <w:pPr>
        <w:pStyle w:val="Heading2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5. FAIR Data Commitment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ensure all data platforms managed by Lithodat follow the FAIR principles: 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120" w:before="280" w:lineRule="auto"/>
        <w:ind w:left="1120" w:hanging="360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22"/>
          <w:szCs w:val="22"/>
          <w:rtl w:val="0"/>
        </w:rPr>
        <w:t xml:space="preserve">Findable: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Use of persistent identifiers (Litho-IDs) and rich geological metadata. 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120" w:before="0" w:lineRule="auto"/>
        <w:ind w:left="1120" w:hanging="360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22"/>
          <w:szCs w:val="22"/>
          <w:rtl w:val="0"/>
        </w:rPr>
        <w:t xml:space="preserve">Accessible: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Data is available via standard web protocols with secure, role-based access. 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120" w:before="0" w:lineRule="auto"/>
        <w:ind w:left="1120" w:hanging="360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22"/>
          <w:szCs w:val="22"/>
          <w:rtl w:val="0"/>
        </w:rPr>
        <w:t xml:space="preserve">Interoperable: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Use of standardized geological vocabularies and open formats (CSV, JSON). 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120" w:before="0" w:lineRule="auto"/>
        <w:ind w:left="1120" w:hanging="360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22"/>
          <w:szCs w:val="22"/>
          <w:rtl w:val="0"/>
        </w:rPr>
        <w:t xml:space="preserve">Reusable: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Clear licensing (e.g., Creative Commons) and detailed laboratory provenance. </w:t>
      </w:r>
    </w:p>
    <w:p w:rsidR="00000000" w:rsidDel="00000000" w:rsidP="00000000" w:rsidRDefault="00000000" w:rsidRPr="00000000" w14:paraId="00000024">
      <w:pPr>
        <w:pStyle w:val="Heading2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6. Continuous Improvement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Our continuous improvement process is practical and responsive. We: 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120" w:before="280" w:lineRule="auto"/>
        <w:ind w:left="1120" w:hanging="360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Conduct regular technical reviews after every major release.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120" w:before="0" w:lineRule="auto"/>
        <w:ind w:left="1120" w:hanging="360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Actively solicit and implement technical feedback from our national research and government partners. 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120" w:before="0" w:lineRule="auto"/>
        <w:ind w:left="1120" w:hanging="360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Maintain an automated alerting system (AWS CloudWatch) to identify and fix performance issues immediately. </w:t>
      </w:r>
    </w:p>
    <w:p w:rsidR="00000000" w:rsidDel="00000000" w:rsidP="00000000" w:rsidRDefault="00000000" w:rsidRPr="00000000" w14:paraId="00000029">
      <w:pPr>
        <w:rPr>
          <w:rFonts w:ascii="Arial" w:cs="Arial" w:eastAsia="Arial" w:hAnsi="Arial"/>
          <w:b w:val="1"/>
          <w:bCs w:val="1"/>
          <w:color w:val="1f4e78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Arial" w:cs="Arial" w:eastAsia="Arial" w:hAnsi="Arial"/>
          <w:b w:val="1"/>
          <w:bCs w:val="1"/>
          <w:color w:val="1f4e78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22"/>
          <w:szCs w:val="22"/>
          <w:rtl w:val="0"/>
        </w:rPr>
        <w:t xml:space="preserve">Dr. Fabian Kohlmann</w:t>
      </w:r>
    </w:p>
    <w:p w:rsidR="00000000" w:rsidDel="00000000" w:rsidP="00000000" w:rsidRDefault="00000000" w:rsidRPr="00000000" w14:paraId="0000002B">
      <w:pPr>
        <w:rPr>
          <w:rFonts w:ascii="Arial" w:cs="Arial" w:eastAsia="Arial" w:hAnsi="Arial"/>
          <w:i w:val="1"/>
          <w:i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rtl w:val="0"/>
        </w:rPr>
        <w:t xml:space="preserve">Chief Executive Officer</w:t>
      </w:r>
    </w:p>
    <w:p w:rsidR="00000000" w:rsidDel="00000000" w:rsidP="00000000" w:rsidRDefault="00000000" w:rsidRPr="00000000" w14:paraId="0000002C">
      <w:pPr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December 2024</w:t>
      </w:r>
    </w:p>
    <w:p w:rsidR="00000000" w:rsidDel="00000000" w:rsidP="00000000" w:rsidRDefault="00000000" w:rsidRPr="00000000" w14:paraId="0000002D">
      <w:pPr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22"/>
          <w:szCs w:val="22"/>
          <w:rtl w:val="0"/>
        </w:rPr>
        <w:t xml:space="preserve">Lithodat Pty Ltd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| ABN: 48 647 191 452</w:t>
        <w:br w:type="textWrapping"/>
        <w:t xml:space="preserve">Website: </w:t>
      </w:r>
      <w:hyperlink r:id="rId8">
        <w:r w:rsidDel="00000000" w:rsidR="00000000" w:rsidRPr="00000000">
          <w:rPr>
            <w:rFonts w:ascii="Arial" w:cs="Arial" w:eastAsia="Arial" w:hAnsi="Arial"/>
            <w:strike w:val="0"/>
            <w:color w:val="1f4e78"/>
            <w:sz w:val="22"/>
            <w:szCs w:val="22"/>
            <w:u w:val="none"/>
            <w:rtl w:val="0"/>
          </w:rPr>
          <w:t xml:space="preserve">https://lithodat.com</w:t>
        </w:r>
      </w:hyperlink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br w:type="textWrapping"/>
      </w:r>
    </w:p>
    <w:sectPr>
      <w:headerReference r:id="rId9" w:type="default"/>
      <w:headerReference r:id="rId10" w:type="first"/>
      <w:headerReference r:id="rId11" w:type="even"/>
      <w:footerReference r:id="rId12" w:type="default"/>
      <w:footerReference r:id="rId13" w:type="first"/>
      <w:footerReference r:id="rId14" w:type="even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Bdr>
        <w:bottom w:color="1f4e78" w:space="6" w:sz="18" w:val="single"/>
      </w:pBdr>
      <w:spacing w:after="240" w:lineRule="auto"/>
    </w:pPr>
    <w:rPr>
      <w:b w:val="1"/>
      <w:bCs w:val="1"/>
      <w:color w:val="1f4e78"/>
      <w:sz w:val="36"/>
      <w:szCs w:val="36"/>
    </w:rPr>
  </w:style>
  <w:style w:type="paragraph" w:styleId="Heading2">
    <w:name w:val="heading 2"/>
    <w:basedOn w:val="Normal"/>
    <w:next w:val="Normal"/>
    <w:pPr>
      <w:keepNext w:val="1"/>
      <w:pBdr>
        <w:bottom w:color="1f4e78" w:space="4" w:sz="12" w:val="single"/>
      </w:pBdr>
      <w:spacing w:after="160" w:before="320" w:lineRule="auto"/>
    </w:pPr>
    <w:rPr>
      <w:b w:val="1"/>
      <w:bCs w:val="1"/>
      <w:color w:val="1f4e78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120" w:before="240" w:lineRule="auto"/>
    </w:pPr>
    <w:rPr>
      <w:b w:val="1"/>
      <w:bCs w:val="1"/>
      <w:color w:val="1f4e7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basedOn w:val="DefaultParagraphFont"/>
    <w:uiPriority w:val="99"/>
    <w:semiHidden w:val="1"/>
    <w:unhideWhenUsed w:val="1"/>
    <w:rPr>
      <w:strike w:val="0"/>
      <w:dstrike w:val="0"/>
      <w:color w:val="1f4e78"/>
      <w:u w:val="none"/>
      <w:effect w:val="none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Pr>
      <w:strike w:val="0"/>
      <w:dstrike w:val="0"/>
      <w:color w:val="1f4e78"/>
      <w:u w:val="none"/>
      <w:effect w:val="none"/>
    </w:rPr>
  </w:style>
  <w:style w:type="character" w:styleId="Emphasis">
    <w:name w:val="Emphasis"/>
    <w:basedOn w:val="DefaultParagraphFont"/>
    <w:uiPriority w:val="20"/>
    <w:qFormat w:val="1"/>
    <w:rPr>
      <w:i w:val="1"/>
      <w:iCs w:val="1"/>
    </w:rPr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Pr>
      <w:rFonts w:asciiTheme="minorHAnsi" w:cstheme="majorBidi" w:eastAsiaTheme="majorEastAsia" w:hAnsiTheme="minorHAnsi"/>
      <w:color w:val="0f4761" w:themeColor="accent1" w:themeShade="0000BF"/>
      <w:sz w:val="28"/>
      <w:szCs w:val="28"/>
    </w:rPr>
  </w:style>
  <w:style w:type="character" w:styleId="Strong">
    <w:name w:val="Strong"/>
    <w:basedOn w:val="DefaultParagraphFont"/>
    <w:uiPriority w:val="22"/>
    <w:qFormat w:val="1"/>
    <w:rPr>
      <w:b w:val="1"/>
      <w:bCs w:val="1"/>
      <w:color w:val="1f4e78"/>
    </w:rPr>
  </w:style>
  <w:style w:type="paragraph" w:styleId="msonormal0" w:customStyle="1">
    <w:name w:val="msonormal"/>
    <w:basedOn w:val="Normal"/>
    <w:pPr>
      <w:spacing w:after="200" w:before="100" w:beforeAutospacing="1"/>
      <w:jc w:val="both"/>
    </w:pPr>
  </w:style>
  <w:style w:type="paragraph" w:styleId="NormalWeb">
    <w:name w:val="Normal (Web)"/>
    <w:basedOn w:val="Normal"/>
    <w:uiPriority w:val="99"/>
    <w:semiHidden w:val="1"/>
    <w:unhideWhenUsed w:val="1"/>
    <w:pPr>
      <w:spacing w:after="200" w:before="100" w:beforeAutospacing="1"/>
      <w:jc w:val="both"/>
    </w:pPr>
  </w:style>
  <w:style w:type="paragraph" w:styleId="page-break" w:customStyle="1">
    <w:name w:val="page-break"/>
    <w:basedOn w:val="Normal"/>
    <w:pPr>
      <w:spacing w:after="120" w:before="100" w:beforeAutospacing="1"/>
      <w:jc w:val="both"/>
    </w:pPr>
  </w:style>
  <w:style w:type="paragraph" w:styleId="title-page" w:customStyle="1">
    <w:name w:val="title-page"/>
    <w:basedOn w:val="Normal"/>
    <w:pPr>
      <w:spacing w:after="120" w:before="100" w:beforeAutospacing="1"/>
      <w:jc w:val="center"/>
    </w:pPr>
  </w:style>
  <w:style w:type="paragraph" w:styleId="signature" w:customStyle="1">
    <w:name w:val="signature"/>
    <w:basedOn w:val="Normal"/>
    <w:pPr>
      <w:spacing w:after="120" w:before="800"/>
    </w:pPr>
  </w:style>
  <w:style w:type="paragraph" w:styleId="signature-name" w:customStyle="1">
    <w:name w:val="signature-name"/>
    <w:basedOn w:val="Normal"/>
    <w:pPr>
      <w:spacing w:after="80" w:before="100" w:beforeAutospacing="1"/>
      <w:jc w:val="both"/>
    </w:pPr>
    <w:rPr>
      <w:b w:val="1"/>
      <w:bCs w:val="1"/>
      <w:color w:val="1f4e78"/>
    </w:rPr>
  </w:style>
  <w:style w:type="paragraph" w:styleId="signature-title" w:customStyle="1">
    <w:name w:val="signature-title"/>
    <w:basedOn w:val="Normal"/>
    <w:pPr>
      <w:spacing w:after="80" w:before="100" w:beforeAutospacing="1"/>
      <w:jc w:val="both"/>
    </w:pPr>
    <w:rPr>
      <w:i w:val="1"/>
      <w:iCs w:val="1"/>
    </w:rPr>
  </w:style>
  <w:style w:type="paragraph" w:styleId="signature-date" w:customStyle="1">
    <w:name w:val="signature-date"/>
    <w:basedOn w:val="Normal"/>
    <w:pPr>
      <w:spacing w:after="320" w:before="100" w:beforeAutospacing="1"/>
      <w:jc w:val="both"/>
    </w:pPr>
  </w:style>
  <w:style w:type="paragraph" w:styleId="signature-company" w:customStyle="1">
    <w:name w:val="signature-company"/>
    <w:basedOn w:val="Normal"/>
    <w:pPr>
      <w:pBdr>
        <w:top w:color="1f4e78" w:space="16" w:sz="12" w:val="single"/>
      </w:pBdr>
      <w:spacing w:after="120" w:before="320"/>
      <w:jc w:val="both"/>
    </w:pPr>
  </w:style>
  <w:style w:type="paragraph" w:styleId="highlight-box" w:customStyle="1">
    <w:name w:val="highlight-box"/>
    <w:basedOn w:val="Normal"/>
    <w:pPr>
      <w:pBdr>
        <w:left w:color="1f4e78" w:space="12" w:sz="24" w:val="single"/>
      </w:pBdr>
      <w:shd w:color="auto" w:fill="e8f0f7" w:val="clear"/>
      <w:spacing w:after="320" w:before="320"/>
      <w:jc w:val="both"/>
    </w:pPr>
  </w:style>
  <w:style w:type="paragraph" w:styleId="subtitle" w:customStyle="1">
    <w:name w:val="subtitle"/>
    <w:basedOn w:val="Normal"/>
    <w:pPr>
      <w:spacing w:after="120" w:before="100" w:beforeAutospacing="1"/>
      <w:jc w:val="both"/>
    </w:pPr>
  </w:style>
  <w:style w:type="paragraph" w:styleId="meta" w:customStyle="1">
    <w:name w:val="meta"/>
    <w:basedOn w:val="Normal"/>
    <w:pPr>
      <w:spacing w:after="120" w:before="100" w:beforeAutospacing="1"/>
      <w:jc w:val="both"/>
    </w:pPr>
  </w:style>
  <w:style w:type="paragraph" w:styleId="subtitle1" w:customStyle="1">
    <w:name w:val="subtitle1"/>
    <w:basedOn w:val="Normal"/>
    <w:pPr>
      <w:spacing w:after="300" w:before="300"/>
      <w:jc w:val="both"/>
    </w:pPr>
    <w:rPr>
      <w:color w:val="000000"/>
      <w:sz w:val="28"/>
      <w:szCs w:val="28"/>
    </w:rPr>
  </w:style>
  <w:style w:type="paragraph" w:styleId="meta1" w:customStyle="1">
    <w:name w:val="meta1"/>
    <w:basedOn w:val="Normal"/>
    <w:pPr>
      <w:spacing w:after="200" w:before="600"/>
      <w:jc w:val="both"/>
    </w:pPr>
    <w:rPr>
      <w:color w:val="666666"/>
    </w:rPr>
  </w:style>
  <w:style w:type="paragraph" w:styleId="Header">
    <w:name w:val="header"/>
    <w:basedOn w:val="Normal"/>
    <w:link w:val="HeaderChar"/>
    <w:uiPriority w:val="99"/>
    <w:unhideWhenUsed w:val="1"/>
    <w:rsid w:val="00762AAB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762AAB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 w:val="1"/>
    <w:rsid w:val="00762AAB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762AAB"/>
    <w:rPr>
      <w:rFonts w:eastAsiaTheme="minorEastAsia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header" Target="header3.xml"/><Relationship Id="rId13" Type="http://schemas.openxmlformats.org/officeDocument/2006/relationships/footer" Target="footer3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lithodat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+6GKpPB7fXRnupq/69u1imTT+A==">CgMxLjA4AHIhMUtQRWtCOXZCeWhZMzE4TEJfSlZUSjl5X3kyUThWUHNG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2025-12-20T22:20:00Z</dcterms:created>
  <dc:creator>Keith Dimech</dc:creator>
</cp:coreProperties>
</file>